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564AA">
      <w:pPr>
        <w:spacing w:line="560" w:lineRule="exact"/>
        <w:jc w:val="center"/>
        <w:rPr>
          <w:rFonts w:ascii="Times New Roman" w:hAnsi="Times New Roman"/>
          <w:b/>
          <w:w w:val="90"/>
          <w:sz w:val="52"/>
          <w:szCs w:val="52"/>
        </w:rPr>
      </w:pPr>
    </w:p>
    <w:p w14:paraId="7AE57433">
      <w:pPr>
        <w:spacing w:line="560" w:lineRule="exact"/>
        <w:jc w:val="center"/>
        <w:rPr>
          <w:rFonts w:ascii="Times New Roman" w:hAnsi="Times New Roman" w:eastAsia="仿宋" w:cs="仿宋"/>
          <w:b/>
          <w:w w:val="90"/>
          <w:sz w:val="52"/>
          <w:szCs w:val="52"/>
        </w:rPr>
      </w:pPr>
    </w:p>
    <w:p w14:paraId="2130D869">
      <w:pPr>
        <w:keepNext w:val="0"/>
        <w:keepLines w:val="0"/>
        <w:pageBreakBefore w:val="0"/>
        <w:widowControl/>
        <w:tabs>
          <w:tab w:val="left" w:pos="2634"/>
        </w:tabs>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ascii="Times New Roman" w:hAnsi="Times New Roman" w:eastAsia="仿宋" w:cs="仿宋"/>
          <w:b/>
          <w:w w:val="90"/>
          <w:sz w:val="44"/>
          <w:szCs w:val="44"/>
          <w:lang w:val="en-US" w:eastAsia="zh-CN"/>
        </w:rPr>
        <w:t>福维新材料会议室系统建设项目</w:t>
      </w:r>
    </w:p>
    <w:p w14:paraId="7F6A5FF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黑体"/>
          <w:b/>
          <w:bCs/>
          <w:sz w:val="52"/>
          <w:szCs w:val="52"/>
        </w:rPr>
      </w:pPr>
      <w:r>
        <w:rPr>
          <w:rFonts w:hint="eastAsia" w:ascii="Times New Roman" w:hAnsi="Times New Roman" w:cs="黑体"/>
          <w:b/>
          <w:bCs/>
          <w:sz w:val="52"/>
          <w:szCs w:val="52"/>
        </w:rPr>
        <w:t>比选文件</w:t>
      </w:r>
    </w:p>
    <w:p w14:paraId="1F26F8C6">
      <w:pPr>
        <w:spacing w:line="560" w:lineRule="exact"/>
        <w:jc w:val="center"/>
        <w:rPr>
          <w:rFonts w:ascii="Times New Roman" w:hAnsi="Times New Roman"/>
          <w:b/>
          <w:sz w:val="36"/>
          <w:szCs w:val="20"/>
        </w:rPr>
      </w:pPr>
    </w:p>
    <w:p w14:paraId="78B40E56">
      <w:pPr>
        <w:spacing w:line="560" w:lineRule="exact"/>
        <w:rPr>
          <w:rFonts w:ascii="Times New Roman" w:hAnsi="Times New Roman"/>
          <w:szCs w:val="20"/>
        </w:rPr>
      </w:pPr>
    </w:p>
    <w:p w14:paraId="7BA5B527">
      <w:pPr>
        <w:spacing w:line="560" w:lineRule="exact"/>
        <w:jc w:val="center"/>
        <w:rPr>
          <w:rFonts w:ascii="Times New Roman" w:hAnsi="Times New Roman"/>
          <w:b/>
          <w:sz w:val="28"/>
          <w:szCs w:val="20"/>
        </w:rPr>
      </w:pPr>
    </w:p>
    <w:p w14:paraId="22F312F8">
      <w:pPr>
        <w:spacing w:line="560" w:lineRule="exact"/>
        <w:jc w:val="center"/>
        <w:rPr>
          <w:rFonts w:ascii="Times New Roman" w:hAnsi="Times New Roman"/>
          <w:b/>
          <w:sz w:val="28"/>
          <w:szCs w:val="20"/>
        </w:rPr>
      </w:pPr>
    </w:p>
    <w:p w14:paraId="11F1BB08">
      <w:pPr>
        <w:spacing w:line="560" w:lineRule="exact"/>
        <w:jc w:val="center"/>
        <w:rPr>
          <w:rFonts w:ascii="Times New Roman" w:hAnsi="Times New Roman"/>
          <w:b/>
          <w:sz w:val="28"/>
          <w:szCs w:val="20"/>
        </w:rPr>
      </w:pPr>
    </w:p>
    <w:p w14:paraId="1402EC3A">
      <w:pPr>
        <w:tabs>
          <w:tab w:val="left" w:pos="7380"/>
        </w:tabs>
        <w:spacing w:line="560" w:lineRule="exact"/>
        <w:rPr>
          <w:rFonts w:ascii="Times New Roman" w:hAnsi="Times New Roman"/>
          <w:b/>
          <w:sz w:val="28"/>
          <w:szCs w:val="20"/>
        </w:rPr>
      </w:pPr>
      <w:r>
        <w:rPr>
          <w:rFonts w:ascii="Times New Roman" w:hAnsi="Times New Roman"/>
          <w:b/>
          <w:sz w:val="28"/>
          <w:szCs w:val="20"/>
        </w:rPr>
        <w:tab/>
      </w:r>
    </w:p>
    <w:p w14:paraId="06B6BF3C">
      <w:pPr>
        <w:spacing w:line="560" w:lineRule="exact"/>
        <w:jc w:val="center"/>
        <w:rPr>
          <w:rFonts w:ascii="Times New Roman" w:hAnsi="Times New Roman"/>
          <w:b/>
          <w:sz w:val="28"/>
          <w:szCs w:val="20"/>
        </w:rPr>
      </w:pPr>
    </w:p>
    <w:p w14:paraId="08BE352D">
      <w:pPr>
        <w:spacing w:line="560" w:lineRule="exact"/>
        <w:jc w:val="center"/>
        <w:rPr>
          <w:rFonts w:ascii="Times New Roman" w:hAnsi="Times New Roman"/>
          <w:b/>
          <w:sz w:val="28"/>
          <w:szCs w:val="20"/>
        </w:rPr>
      </w:pPr>
    </w:p>
    <w:p w14:paraId="2B1ED074">
      <w:pPr>
        <w:spacing w:line="560" w:lineRule="exact"/>
        <w:jc w:val="center"/>
        <w:rPr>
          <w:rFonts w:ascii="Times New Roman" w:hAnsi="Times New Roman"/>
          <w:b/>
          <w:sz w:val="28"/>
          <w:szCs w:val="20"/>
        </w:rPr>
      </w:pPr>
    </w:p>
    <w:p w14:paraId="38D27FF5">
      <w:pPr>
        <w:spacing w:line="560" w:lineRule="exact"/>
        <w:jc w:val="center"/>
        <w:rPr>
          <w:rFonts w:ascii="Times New Roman" w:hAnsi="Times New Roman"/>
          <w:b/>
          <w:sz w:val="28"/>
          <w:szCs w:val="20"/>
        </w:rPr>
      </w:pPr>
    </w:p>
    <w:p w14:paraId="5C48CACA">
      <w:pPr>
        <w:spacing w:line="560" w:lineRule="exact"/>
        <w:jc w:val="center"/>
        <w:rPr>
          <w:rFonts w:ascii="Times New Roman" w:hAnsi="Times New Roman"/>
          <w:b/>
          <w:sz w:val="28"/>
          <w:szCs w:val="20"/>
        </w:rPr>
      </w:pPr>
    </w:p>
    <w:p w14:paraId="0B93C323">
      <w:pPr>
        <w:spacing w:line="560" w:lineRule="exact"/>
        <w:jc w:val="center"/>
        <w:rPr>
          <w:rFonts w:ascii="Times New Roman" w:hAnsi="Times New Roman"/>
          <w:b/>
          <w:sz w:val="28"/>
          <w:szCs w:val="20"/>
        </w:rPr>
      </w:pPr>
    </w:p>
    <w:p w14:paraId="6B0FD17A">
      <w:pPr>
        <w:spacing w:line="560" w:lineRule="exact"/>
        <w:jc w:val="center"/>
        <w:rPr>
          <w:rFonts w:ascii="Times New Roman" w:hAnsi="Times New Roman"/>
          <w:b/>
          <w:sz w:val="28"/>
          <w:szCs w:val="20"/>
        </w:rPr>
      </w:pPr>
    </w:p>
    <w:p w14:paraId="06A2F532">
      <w:pPr>
        <w:spacing w:line="560" w:lineRule="exact"/>
        <w:jc w:val="center"/>
        <w:rPr>
          <w:rFonts w:ascii="Times New Roman" w:hAnsi="Times New Roman"/>
          <w:b/>
          <w:sz w:val="28"/>
          <w:szCs w:val="20"/>
        </w:rPr>
      </w:pPr>
    </w:p>
    <w:p w14:paraId="2E80BFB4">
      <w:pPr>
        <w:spacing w:line="560" w:lineRule="exact"/>
        <w:jc w:val="center"/>
        <w:rPr>
          <w:rFonts w:ascii="Times New Roman" w:hAnsi="Times New Roman"/>
          <w:b/>
          <w:sz w:val="36"/>
          <w:szCs w:val="20"/>
        </w:rPr>
      </w:pPr>
      <w:r>
        <w:rPr>
          <w:rFonts w:hint="eastAsia" w:ascii="Times New Roman" w:hAnsi="Times New Roman"/>
          <w:b/>
          <w:sz w:val="36"/>
          <w:szCs w:val="36"/>
        </w:rPr>
        <w:t>福建省能源石化信息科技有限责任公司</w:t>
      </w:r>
    </w:p>
    <w:p w14:paraId="25F21D74">
      <w:pPr>
        <w:spacing w:line="560" w:lineRule="exact"/>
        <w:jc w:val="center"/>
        <w:rPr>
          <w:rFonts w:ascii="Times New Roman" w:hAnsi="Times New Roman"/>
          <w:b/>
          <w:sz w:val="36"/>
          <w:szCs w:val="20"/>
        </w:rPr>
      </w:pPr>
      <w:r>
        <w:rPr>
          <w:rFonts w:hint="eastAsia" w:ascii="Times New Roman" w:hAnsi="Times New Roman"/>
          <w:b/>
          <w:sz w:val="36"/>
          <w:szCs w:val="20"/>
        </w:rPr>
        <w:t>二〇二</w:t>
      </w:r>
      <w:r>
        <w:rPr>
          <w:rFonts w:hint="eastAsia" w:ascii="Times New Roman" w:hAnsi="Times New Roman"/>
          <w:b/>
          <w:sz w:val="36"/>
          <w:szCs w:val="20"/>
          <w:lang w:val="en-US" w:eastAsia="zh-CN"/>
        </w:rPr>
        <w:t>五</w:t>
      </w:r>
      <w:r>
        <w:rPr>
          <w:rFonts w:hint="eastAsia" w:ascii="Times New Roman" w:hAnsi="Times New Roman"/>
          <w:b/>
          <w:sz w:val="36"/>
          <w:szCs w:val="20"/>
        </w:rPr>
        <w:t>年</w:t>
      </w:r>
      <w:r>
        <w:rPr>
          <w:rFonts w:hint="eastAsia" w:ascii="Times New Roman" w:hAnsi="Times New Roman"/>
          <w:b/>
          <w:sz w:val="36"/>
          <w:szCs w:val="20"/>
          <w:lang w:val="en-US" w:eastAsia="zh-CN"/>
        </w:rPr>
        <w:t>六</w:t>
      </w:r>
      <w:r>
        <w:rPr>
          <w:rFonts w:hint="eastAsia" w:ascii="Times New Roman" w:hAnsi="Times New Roman"/>
          <w:b/>
          <w:sz w:val="36"/>
          <w:szCs w:val="20"/>
        </w:rPr>
        <w:t>月</w:t>
      </w:r>
    </w:p>
    <w:p w14:paraId="326564CC">
      <w:pPr>
        <w:spacing w:line="560" w:lineRule="exact"/>
        <w:rPr>
          <w:rFonts w:ascii="Times New Roman" w:hAnsi="Times New Roman"/>
        </w:rPr>
      </w:pPr>
    </w:p>
    <w:p w14:paraId="5C65771B">
      <w:pPr>
        <w:pStyle w:val="20"/>
        <w:spacing w:before="0" w:line="560" w:lineRule="exact"/>
        <w:jc w:val="center"/>
        <w:rPr>
          <w:rFonts w:ascii="Times New Roman" w:hAnsi="Times New Roman"/>
          <w:b/>
          <w:color w:val="auto"/>
          <w:sz w:val="30"/>
          <w:szCs w:val="30"/>
          <w:lang w:val="zh-CN"/>
        </w:rPr>
        <w:sectPr>
          <w:footerReference r:id="rId5" w:type="first"/>
          <w:headerReference r:id="rId3" w:type="default"/>
          <w:footerReference r:id="rId4" w:type="default"/>
          <w:pgSz w:w="11906" w:h="16838"/>
          <w:pgMar w:top="1361" w:right="1134" w:bottom="1134" w:left="1418" w:header="907" w:footer="992" w:gutter="0"/>
          <w:pgNumType w:fmt="decimal"/>
          <w:cols w:space="720" w:num="1"/>
          <w:docGrid w:linePitch="312" w:charSpace="0"/>
        </w:sectPr>
      </w:pPr>
    </w:p>
    <w:p w14:paraId="5FCD53D7">
      <w:pPr>
        <w:pStyle w:val="20"/>
        <w:spacing w:before="0" w:line="560" w:lineRule="exact"/>
        <w:jc w:val="center"/>
        <w:rPr>
          <w:rFonts w:ascii="Times New Roman" w:hAnsi="Times New Roman"/>
          <w:b/>
          <w:color w:val="auto"/>
          <w:sz w:val="30"/>
          <w:szCs w:val="30"/>
        </w:rPr>
      </w:pPr>
      <w:bookmarkStart w:id="0" w:name="_Toc5443"/>
      <w:bookmarkStart w:id="1" w:name="_Toc32680"/>
      <w:bookmarkStart w:id="2" w:name="_Toc8060"/>
      <w:bookmarkStart w:id="3" w:name="_Toc11819"/>
      <w:bookmarkStart w:id="4" w:name="_Toc28943"/>
      <w:bookmarkStart w:id="5" w:name="_Toc26361"/>
      <w:bookmarkStart w:id="6" w:name="_Toc27944"/>
      <w:r>
        <w:rPr>
          <w:rFonts w:ascii="Times New Roman" w:hAnsi="Times New Roman"/>
          <w:b/>
          <w:color w:val="auto"/>
          <w:sz w:val="30"/>
          <w:szCs w:val="30"/>
          <w:lang w:val="zh-CN"/>
        </w:rPr>
        <w:t>目录</w:t>
      </w:r>
      <w:bookmarkEnd w:id="0"/>
      <w:bookmarkEnd w:id="1"/>
      <w:bookmarkEnd w:id="2"/>
      <w:bookmarkEnd w:id="3"/>
      <w:bookmarkEnd w:id="4"/>
      <w:bookmarkEnd w:id="5"/>
      <w:bookmarkEnd w:id="6"/>
    </w:p>
    <w:p w14:paraId="4AB2284B">
      <w:pPr>
        <w:pStyle w:val="12"/>
        <w:tabs>
          <w:tab w:val="right" w:leader="dot" w:pos="9354"/>
        </w:tabs>
      </w:pPr>
      <w:r>
        <w:rPr>
          <w:rFonts w:hint="eastAsia" w:ascii="Times New Roman" w:hAnsi="Times New Roman" w:eastAsia="仿宋" w:cs="仿宋"/>
          <w:b/>
          <w:szCs w:val="21"/>
        </w:rPr>
        <w:fldChar w:fldCharType="begin"/>
      </w:r>
      <w:r>
        <w:rPr>
          <w:rFonts w:hint="eastAsia" w:ascii="Times New Roman" w:hAnsi="Times New Roman" w:eastAsia="仿宋" w:cs="仿宋"/>
          <w:b/>
          <w:szCs w:val="21"/>
        </w:rPr>
        <w:instrText xml:space="preserve"> TOC \o "1-3" \h \z \u </w:instrText>
      </w:r>
      <w:r>
        <w:rPr>
          <w:rFonts w:hint="eastAsia" w:ascii="Times New Roman" w:hAnsi="Times New Roman" w:eastAsia="仿宋" w:cs="仿宋"/>
          <w:b/>
          <w:szCs w:val="21"/>
        </w:rPr>
        <w:fldChar w:fldCharType="separate"/>
      </w:r>
      <w:r>
        <w:rPr>
          <w:rFonts w:hint="eastAsia" w:ascii="Times New Roman" w:hAnsi="Times New Roman" w:eastAsia="仿宋" w:cs="仿宋"/>
          <w:szCs w:val="21"/>
        </w:rPr>
        <w:fldChar w:fldCharType="begin"/>
      </w:r>
      <w:r>
        <w:rPr>
          <w:rFonts w:hint="eastAsia" w:ascii="Times New Roman" w:hAnsi="Times New Roman" w:eastAsia="仿宋" w:cs="仿宋"/>
          <w:szCs w:val="21"/>
        </w:rPr>
        <w:instrText xml:space="preserve"> HYPERLINK \l _Toc28151 </w:instrText>
      </w:r>
      <w:r>
        <w:rPr>
          <w:rFonts w:hint="eastAsia" w:ascii="Times New Roman" w:hAnsi="Times New Roman" w:eastAsia="仿宋" w:cs="仿宋"/>
          <w:szCs w:val="21"/>
        </w:rPr>
        <w:fldChar w:fldCharType="separate"/>
      </w:r>
      <w:r>
        <w:rPr>
          <w:rFonts w:hint="eastAsia" w:ascii="Times New Roman" w:hAnsi="Times New Roman" w:eastAsia="仿宋"/>
          <w:szCs w:val="44"/>
        </w:rPr>
        <w:t>第一章  比选公告</w:t>
      </w:r>
      <w:r>
        <w:tab/>
      </w:r>
      <w:r>
        <w:fldChar w:fldCharType="begin"/>
      </w:r>
      <w:r>
        <w:instrText xml:space="preserve"> PAGEREF _Toc28151 \h </w:instrText>
      </w:r>
      <w:r>
        <w:fldChar w:fldCharType="separate"/>
      </w:r>
      <w:r>
        <w:t>- 3 -</w:t>
      </w:r>
      <w:r>
        <w:fldChar w:fldCharType="end"/>
      </w:r>
      <w:r>
        <w:rPr>
          <w:rFonts w:hint="eastAsia" w:ascii="Times New Roman" w:hAnsi="Times New Roman" w:eastAsia="仿宋" w:cs="仿宋"/>
          <w:szCs w:val="21"/>
        </w:rPr>
        <w:fldChar w:fldCharType="end"/>
      </w:r>
    </w:p>
    <w:p w14:paraId="38B55375">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_Toc23163 </w:instrText>
      </w:r>
      <w:r>
        <w:rPr>
          <w:rFonts w:hint="eastAsia" w:ascii="Times New Roman" w:hAnsi="Times New Roman" w:eastAsia="仿宋" w:cs="仿宋"/>
          <w:bCs/>
          <w:szCs w:val="21"/>
          <w:lang w:val="zh-CN"/>
        </w:rPr>
        <w:fldChar w:fldCharType="separate"/>
      </w:r>
      <w:r>
        <w:rPr>
          <w:rFonts w:hint="eastAsia" w:ascii="Times New Roman" w:hAnsi="Times New Roman" w:eastAsia="仿宋"/>
          <w:szCs w:val="44"/>
        </w:rPr>
        <w:t>第二章  比选须知</w:t>
      </w:r>
      <w:r>
        <w:tab/>
      </w:r>
      <w:r>
        <w:fldChar w:fldCharType="begin"/>
      </w:r>
      <w:r>
        <w:instrText xml:space="preserve"> PAGEREF _Toc23163 \h </w:instrText>
      </w:r>
      <w:r>
        <w:fldChar w:fldCharType="separate"/>
      </w:r>
      <w:r>
        <w:t>- 5 -</w:t>
      </w:r>
      <w:r>
        <w:fldChar w:fldCharType="end"/>
      </w:r>
      <w:r>
        <w:rPr>
          <w:rFonts w:hint="eastAsia" w:ascii="Times New Roman" w:hAnsi="Times New Roman" w:eastAsia="仿宋" w:cs="仿宋"/>
          <w:bCs/>
          <w:szCs w:val="21"/>
          <w:lang w:val="zh-CN"/>
        </w:rPr>
        <w:fldChar w:fldCharType="end"/>
      </w:r>
    </w:p>
    <w:p w14:paraId="65341118">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_Toc7368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一、比选范围</w:t>
      </w:r>
      <w:r>
        <w:tab/>
      </w:r>
      <w:r>
        <w:fldChar w:fldCharType="begin"/>
      </w:r>
      <w:r>
        <w:instrText xml:space="preserve"> PAGEREF _Toc7368 \h </w:instrText>
      </w:r>
      <w:r>
        <w:fldChar w:fldCharType="separate"/>
      </w:r>
      <w:r>
        <w:t>- 5 -</w:t>
      </w:r>
      <w:r>
        <w:fldChar w:fldCharType="end"/>
      </w:r>
      <w:r>
        <w:rPr>
          <w:rFonts w:hint="eastAsia" w:ascii="Times New Roman" w:hAnsi="Times New Roman" w:eastAsia="仿宋" w:cs="仿宋"/>
          <w:bCs/>
          <w:szCs w:val="21"/>
          <w:lang w:val="zh-CN"/>
        </w:rPr>
        <w:fldChar w:fldCharType="end"/>
      </w:r>
    </w:p>
    <w:p w14:paraId="093DC21E">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_Toc32575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二、定义和解释</w:t>
      </w:r>
      <w:r>
        <w:tab/>
      </w:r>
      <w:r>
        <w:fldChar w:fldCharType="begin"/>
      </w:r>
      <w:r>
        <w:instrText xml:space="preserve"> PAGEREF _Toc32575 \h </w:instrText>
      </w:r>
      <w:r>
        <w:fldChar w:fldCharType="separate"/>
      </w:r>
      <w:r>
        <w:t>- 5 -</w:t>
      </w:r>
      <w:r>
        <w:fldChar w:fldCharType="end"/>
      </w:r>
      <w:r>
        <w:rPr>
          <w:rFonts w:hint="eastAsia" w:ascii="Times New Roman" w:hAnsi="Times New Roman" w:eastAsia="仿宋" w:cs="仿宋"/>
          <w:bCs/>
          <w:szCs w:val="21"/>
          <w:lang w:val="zh-CN"/>
        </w:rPr>
        <w:fldChar w:fldCharType="end"/>
      </w:r>
    </w:p>
    <w:p w14:paraId="65E06328">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_Toc22769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三、比选文件组成</w:t>
      </w:r>
      <w:r>
        <w:tab/>
      </w:r>
      <w:r>
        <w:fldChar w:fldCharType="begin"/>
      </w:r>
      <w:r>
        <w:instrText xml:space="preserve"> PAGEREF _Toc22769 \h </w:instrText>
      </w:r>
      <w:r>
        <w:fldChar w:fldCharType="separate"/>
      </w:r>
      <w:r>
        <w:t>- 5 -</w:t>
      </w:r>
      <w:r>
        <w:fldChar w:fldCharType="end"/>
      </w:r>
      <w:r>
        <w:rPr>
          <w:rFonts w:hint="eastAsia" w:ascii="Times New Roman" w:hAnsi="Times New Roman" w:eastAsia="仿宋" w:cs="仿宋"/>
          <w:bCs/>
          <w:szCs w:val="21"/>
          <w:lang w:val="zh-CN"/>
        </w:rPr>
        <w:fldChar w:fldCharType="end"/>
      </w:r>
    </w:p>
    <w:p w14:paraId="1BD7CC1B">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_Toc4358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四、比选文件的澄清</w:t>
      </w:r>
      <w:r>
        <w:tab/>
      </w:r>
      <w:r>
        <w:fldChar w:fldCharType="begin"/>
      </w:r>
      <w:r>
        <w:instrText xml:space="preserve"> PAGEREF _Toc4358 \h </w:instrText>
      </w:r>
      <w:r>
        <w:fldChar w:fldCharType="separate"/>
      </w:r>
      <w:r>
        <w:t>- 6 -</w:t>
      </w:r>
      <w:r>
        <w:fldChar w:fldCharType="end"/>
      </w:r>
      <w:r>
        <w:rPr>
          <w:rFonts w:hint="eastAsia" w:ascii="Times New Roman" w:hAnsi="Times New Roman" w:eastAsia="仿宋" w:cs="仿宋"/>
          <w:bCs/>
          <w:szCs w:val="21"/>
          <w:lang w:val="zh-CN"/>
        </w:rPr>
        <w:fldChar w:fldCharType="end"/>
      </w:r>
    </w:p>
    <w:p w14:paraId="60311D08">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_Toc32761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五、比选文件的修改、补充</w:t>
      </w:r>
      <w:r>
        <w:tab/>
      </w:r>
      <w:r>
        <w:fldChar w:fldCharType="begin"/>
      </w:r>
      <w:r>
        <w:instrText xml:space="preserve"> PAGEREF _Toc32761 \h </w:instrText>
      </w:r>
      <w:r>
        <w:fldChar w:fldCharType="separate"/>
      </w:r>
      <w:r>
        <w:t>- 6 -</w:t>
      </w:r>
      <w:r>
        <w:fldChar w:fldCharType="end"/>
      </w:r>
      <w:r>
        <w:rPr>
          <w:rFonts w:hint="eastAsia" w:ascii="Times New Roman" w:hAnsi="Times New Roman" w:eastAsia="仿宋" w:cs="仿宋"/>
          <w:bCs/>
          <w:szCs w:val="21"/>
          <w:lang w:val="zh-CN"/>
        </w:rPr>
        <w:fldChar w:fldCharType="end"/>
      </w:r>
    </w:p>
    <w:p w14:paraId="50061C27">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_Toc31099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六、参选人资格</w:t>
      </w:r>
      <w:r>
        <w:tab/>
      </w:r>
      <w:r>
        <w:fldChar w:fldCharType="begin"/>
      </w:r>
      <w:r>
        <w:instrText xml:space="preserve"> PAGEREF _Toc31099 \h </w:instrText>
      </w:r>
      <w:r>
        <w:fldChar w:fldCharType="separate"/>
      </w:r>
      <w:r>
        <w:t>- 6 -</w:t>
      </w:r>
      <w:r>
        <w:fldChar w:fldCharType="end"/>
      </w:r>
      <w:r>
        <w:rPr>
          <w:rFonts w:hint="eastAsia" w:ascii="Times New Roman" w:hAnsi="Times New Roman" w:eastAsia="仿宋" w:cs="仿宋"/>
          <w:bCs/>
          <w:szCs w:val="21"/>
          <w:lang w:val="zh-CN"/>
        </w:rPr>
        <w:fldChar w:fldCharType="end"/>
      </w:r>
    </w:p>
    <w:p w14:paraId="0085F8EB">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_Toc22040 </w:instrText>
      </w:r>
      <w:r>
        <w:rPr>
          <w:rFonts w:hint="eastAsia" w:ascii="Times New Roman" w:hAnsi="Times New Roman" w:eastAsia="仿宋" w:cs="仿宋"/>
          <w:bCs/>
          <w:szCs w:val="21"/>
          <w:lang w:val="zh-CN"/>
        </w:rPr>
        <w:fldChar w:fldCharType="separate"/>
      </w:r>
      <w:r>
        <w:rPr>
          <w:rFonts w:hint="eastAsia" w:ascii="Times New Roman" w:hAnsi="Times New Roman" w:eastAsia="仿宋"/>
          <w:lang w:val="en-US" w:eastAsia="zh-CN"/>
        </w:rPr>
        <w:t>七</w:t>
      </w:r>
      <w:r>
        <w:rPr>
          <w:rFonts w:hint="eastAsia" w:ascii="Times New Roman" w:hAnsi="Times New Roman" w:eastAsia="仿宋"/>
        </w:rPr>
        <w:t>、参选文件的递交</w:t>
      </w:r>
      <w:r>
        <w:tab/>
      </w:r>
      <w:r>
        <w:fldChar w:fldCharType="begin"/>
      </w:r>
      <w:r>
        <w:instrText xml:space="preserve"> PAGEREF _Toc22040 \h </w:instrText>
      </w:r>
      <w:r>
        <w:fldChar w:fldCharType="separate"/>
      </w:r>
      <w:r>
        <w:t>- 6 -</w:t>
      </w:r>
      <w:r>
        <w:fldChar w:fldCharType="end"/>
      </w:r>
      <w:r>
        <w:rPr>
          <w:rFonts w:hint="eastAsia" w:ascii="Times New Roman" w:hAnsi="Times New Roman" w:eastAsia="仿宋" w:cs="仿宋"/>
          <w:bCs/>
          <w:szCs w:val="21"/>
          <w:lang w:val="zh-CN"/>
        </w:rPr>
        <w:fldChar w:fldCharType="end"/>
      </w:r>
    </w:p>
    <w:p w14:paraId="7EAA15CC">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_Toc20549 </w:instrText>
      </w:r>
      <w:r>
        <w:rPr>
          <w:rFonts w:hint="eastAsia" w:ascii="Times New Roman" w:hAnsi="Times New Roman" w:eastAsia="仿宋" w:cs="仿宋"/>
          <w:bCs/>
          <w:szCs w:val="21"/>
          <w:lang w:val="zh-CN"/>
        </w:rPr>
        <w:fldChar w:fldCharType="separate"/>
      </w:r>
      <w:r>
        <w:rPr>
          <w:rFonts w:eastAsia="仿宋" w:cs="宋体"/>
          <w:caps w:val="0"/>
          <w:szCs w:val="44"/>
          <w:lang w:eastAsia="zh-CN"/>
        </w:rPr>
        <w:t>第</w:t>
      </w:r>
      <w:r>
        <w:rPr>
          <w:rFonts w:hint="eastAsia" w:eastAsia="仿宋" w:cs="宋体"/>
          <w:caps w:val="0"/>
          <w:szCs w:val="44"/>
          <w:lang w:eastAsia="zh-CN"/>
        </w:rPr>
        <w:t>三</w:t>
      </w:r>
      <w:r>
        <w:rPr>
          <w:rFonts w:eastAsia="仿宋" w:cs="宋体"/>
          <w:caps w:val="0"/>
          <w:szCs w:val="44"/>
          <w:lang w:eastAsia="zh-CN"/>
        </w:rPr>
        <w:t xml:space="preserve">章 </w:t>
      </w:r>
      <w:r>
        <w:rPr>
          <w:rFonts w:hint="eastAsia" w:eastAsia="仿宋" w:cs="宋体"/>
          <w:caps w:val="0"/>
          <w:szCs w:val="44"/>
          <w:lang w:eastAsia="zh-CN"/>
        </w:rPr>
        <w:t>项目概况</w:t>
      </w:r>
      <w:r>
        <w:tab/>
      </w:r>
      <w:r>
        <w:fldChar w:fldCharType="begin"/>
      </w:r>
      <w:r>
        <w:instrText xml:space="preserve"> PAGEREF _Toc20549 \h </w:instrText>
      </w:r>
      <w:r>
        <w:fldChar w:fldCharType="separate"/>
      </w:r>
      <w:r>
        <w:t>- 8 -</w:t>
      </w:r>
      <w:r>
        <w:fldChar w:fldCharType="end"/>
      </w:r>
      <w:r>
        <w:rPr>
          <w:rFonts w:hint="eastAsia" w:ascii="Times New Roman" w:hAnsi="Times New Roman" w:eastAsia="仿宋" w:cs="仿宋"/>
          <w:bCs/>
          <w:szCs w:val="21"/>
          <w:lang w:val="zh-CN"/>
        </w:rPr>
        <w:fldChar w:fldCharType="end"/>
      </w:r>
    </w:p>
    <w:p w14:paraId="33517E71">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_Toc12131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一、集团简介</w:t>
      </w:r>
      <w:r>
        <w:tab/>
      </w:r>
      <w:r>
        <w:fldChar w:fldCharType="begin"/>
      </w:r>
      <w:r>
        <w:instrText xml:space="preserve"> PAGEREF _Toc12131 \h </w:instrText>
      </w:r>
      <w:r>
        <w:fldChar w:fldCharType="separate"/>
      </w:r>
      <w:r>
        <w:t>- 8 -</w:t>
      </w:r>
      <w:r>
        <w:fldChar w:fldCharType="end"/>
      </w:r>
      <w:r>
        <w:rPr>
          <w:rFonts w:hint="eastAsia" w:ascii="Times New Roman" w:hAnsi="Times New Roman" w:eastAsia="仿宋" w:cs="仿宋"/>
          <w:bCs/>
          <w:szCs w:val="21"/>
          <w:lang w:val="zh-CN"/>
        </w:rPr>
        <w:fldChar w:fldCharType="end"/>
      </w:r>
    </w:p>
    <w:p w14:paraId="0326CBE0">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_Toc28681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二、 项目概况</w:t>
      </w:r>
      <w:r>
        <w:tab/>
      </w:r>
      <w:r>
        <w:fldChar w:fldCharType="begin"/>
      </w:r>
      <w:r>
        <w:instrText xml:space="preserve"> PAGEREF _Toc28681 \h </w:instrText>
      </w:r>
      <w:r>
        <w:fldChar w:fldCharType="separate"/>
      </w:r>
      <w:r>
        <w:t>- 8 -</w:t>
      </w:r>
      <w:r>
        <w:fldChar w:fldCharType="end"/>
      </w:r>
      <w:r>
        <w:rPr>
          <w:rFonts w:hint="eastAsia" w:ascii="Times New Roman" w:hAnsi="Times New Roman" w:eastAsia="仿宋" w:cs="仿宋"/>
          <w:bCs/>
          <w:szCs w:val="21"/>
          <w:lang w:val="zh-CN"/>
        </w:rPr>
        <w:fldChar w:fldCharType="end"/>
      </w:r>
    </w:p>
    <w:p w14:paraId="0F42C5A9">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_Toc32582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三、 比选内容及要求</w:t>
      </w:r>
      <w:r>
        <w:tab/>
      </w:r>
      <w:r>
        <w:fldChar w:fldCharType="begin"/>
      </w:r>
      <w:r>
        <w:instrText xml:space="preserve"> PAGEREF _Toc32582 \h </w:instrText>
      </w:r>
      <w:r>
        <w:fldChar w:fldCharType="separate"/>
      </w:r>
      <w:r>
        <w:t>- 8 -</w:t>
      </w:r>
      <w:r>
        <w:fldChar w:fldCharType="end"/>
      </w:r>
      <w:r>
        <w:rPr>
          <w:rFonts w:hint="eastAsia" w:ascii="Times New Roman" w:hAnsi="Times New Roman" w:eastAsia="仿宋" w:cs="仿宋"/>
          <w:bCs/>
          <w:szCs w:val="21"/>
          <w:lang w:val="zh-CN"/>
        </w:rPr>
        <w:fldChar w:fldCharType="end"/>
      </w:r>
    </w:p>
    <w:p w14:paraId="39BACA21">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_Toc23672 </w:instrText>
      </w:r>
      <w:r>
        <w:rPr>
          <w:rFonts w:hint="eastAsia" w:ascii="Times New Roman" w:hAnsi="Times New Roman" w:eastAsia="仿宋" w:cs="仿宋"/>
          <w:bCs/>
          <w:szCs w:val="21"/>
          <w:lang w:val="zh-CN"/>
        </w:rPr>
        <w:fldChar w:fldCharType="separate"/>
      </w:r>
      <w:r>
        <w:rPr>
          <w:rFonts w:hint="eastAsia" w:ascii="Times New Roman" w:hAnsi="Times New Roman" w:eastAsia="仿宋"/>
          <w:szCs w:val="44"/>
        </w:rPr>
        <w:t xml:space="preserve">第四章 </w:t>
      </w:r>
      <w:r>
        <w:rPr>
          <w:rFonts w:hint="eastAsia" w:ascii="Times New Roman" w:hAnsi="Times New Roman" w:eastAsia="仿宋" w:cs="Arial"/>
          <w:bCs/>
          <w:kern w:val="2"/>
          <w:szCs w:val="44"/>
        </w:rPr>
        <w:t>参选文件的编制</w:t>
      </w:r>
      <w:r>
        <w:tab/>
      </w:r>
      <w:r>
        <w:fldChar w:fldCharType="begin"/>
      </w:r>
      <w:r>
        <w:instrText xml:space="preserve"> PAGEREF _Toc23672 \h </w:instrText>
      </w:r>
      <w:r>
        <w:fldChar w:fldCharType="separate"/>
      </w:r>
      <w:r>
        <w:t>- 14 -</w:t>
      </w:r>
      <w:r>
        <w:fldChar w:fldCharType="end"/>
      </w:r>
      <w:r>
        <w:rPr>
          <w:rFonts w:hint="eastAsia" w:ascii="Times New Roman" w:hAnsi="Times New Roman" w:eastAsia="仿宋" w:cs="仿宋"/>
          <w:bCs/>
          <w:szCs w:val="21"/>
          <w:lang w:val="zh-CN"/>
        </w:rPr>
        <w:fldChar w:fldCharType="end"/>
      </w:r>
    </w:p>
    <w:p w14:paraId="6364683B">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_Toc26836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一、参选文件的组成</w:t>
      </w:r>
      <w:r>
        <w:tab/>
      </w:r>
      <w:r>
        <w:fldChar w:fldCharType="begin"/>
      </w:r>
      <w:r>
        <w:instrText xml:space="preserve"> PAGEREF _Toc26836 \h </w:instrText>
      </w:r>
      <w:r>
        <w:fldChar w:fldCharType="separate"/>
      </w:r>
      <w:r>
        <w:t>- 14 -</w:t>
      </w:r>
      <w:r>
        <w:fldChar w:fldCharType="end"/>
      </w:r>
      <w:r>
        <w:rPr>
          <w:rFonts w:hint="eastAsia" w:ascii="Times New Roman" w:hAnsi="Times New Roman" w:eastAsia="仿宋" w:cs="仿宋"/>
          <w:bCs/>
          <w:szCs w:val="21"/>
          <w:lang w:val="zh-CN"/>
        </w:rPr>
        <w:fldChar w:fldCharType="end"/>
      </w:r>
    </w:p>
    <w:p w14:paraId="73287ED0">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_Toc18901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二、参选书格式</w:t>
      </w:r>
      <w:r>
        <w:tab/>
      </w:r>
      <w:r>
        <w:fldChar w:fldCharType="begin"/>
      </w:r>
      <w:r>
        <w:instrText xml:space="preserve"> PAGEREF _Toc18901 \h </w:instrText>
      </w:r>
      <w:r>
        <w:fldChar w:fldCharType="separate"/>
      </w:r>
      <w:r>
        <w:t>- 14 -</w:t>
      </w:r>
      <w:r>
        <w:fldChar w:fldCharType="end"/>
      </w:r>
      <w:r>
        <w:rPr>
          <w:rFonts w:hint="eastAsia" w:ascii="Times New Roman" w:hAnsi="Times New Roman" w:eastAsia="仿宋" w:cs="仿宋"/>
          <w:bCs/>
          <w:szCs w:val="21"/>
          <w:lang w:val="zh-CN"/>
        </w:rPr>
        <w:fldChar w:fldCharType="end"/>
      </w:r>
    </w:p>
    <w:p w14:paraId="2340AABB">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_Toc32452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三、参选文件的式样、密封和签署</w:t>
      </w:r>
      <w:r>
        <w:tab/>
      </w:r>
      <w:r>
        <w:fldChar w:fldCharType="begin"/>
      </w:r>
      <w:r>
        <w:instrText xml:space="preserve"> PAGEREF _Toc32452 \h </w:instrText>
      </w:r>
      <w:r>
        <w:fldChar w:fldCharType="separate"/>
      </w:r>
      <w:r>
        <w:t>- 14 -</w:t>
      </w:r>
      <w:r>
        <w:fldChar w:fldCharType="end"/>
      </w:r>
      <w:r>
        <w:rPr>
          <w:rFonts w:hint="eastAsia" w:ascii="Times New Roman" w:hAnsi="Times New Roman" w:eastAsia="仿宋" w:cs="仿宋"/>
          <w:bCs/>
          <w:szCs w:val="21"/>
          <w:lang w:val="zh-CN"/>
        </w:rPr>
        <w:fldChar w:fldCharType="end"/>
      </w:r>
    </w:p>
    <w:p w14:paraId="2331A9CF">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_Toc22929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四、参选报价</w:t>
      </w:r>
      <w:r>
        <w:tab/>
      </w:r>
      <w:r>
        <w:fldChar w:fldCharType="begin"/>
      </w:r>
      <w:r>
        <w:instrText xml:space="preserve"> PAGEREF _Toc22929 \h </w:instrText>
      </w:r>
      <w:r>
        <w:fldChar w:fldCharType="separate"/>
      </w:r>
      <w:r>
        <w:t>- 15 -</w:t>
      </w:r>
      <w:r>
        <w:fldChar w:fldCharType="end"/>
      </w:r>
      <w:r>
        <w:rPr>
          <w:rFonts w:hint="eastAsia" w:ascii="Times New Roman" w:hAnsi="Times New Roman" w:eastAsia="仿宋" w:cs="仿宋"/>
          <w:bCs/>
          <w:szCs w:val="21"/>
          <w:lang w:val="zh-CN"/>
        </w:rPr>
        <w:fldChar w:fldCharType="end"/>
      </w:r>
    </w:p>
    <w:p w14:paraId="49AC5C5C">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_Toc6153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五、特别说明</w:t>
      </w:r>
      <w:r>
        <w:tab/>
      </w:r>
      <w:r>
        <w:fldChar w:fldCharType="begin"/>
      </w:r>
      <w:r>
        <w:instrText xml:space="preserve"> PAGEREF _Toc6153 \h </w:instrText>
      </w:r>
      <w:r>
        <w:fldChar w:fldCharType="separate"/>
      </w:r>
      <w:r>
        <w:t>- 15 -</w:t>
      </w:r>
      <w:r>
        <w:fldChar w:fldCharType="end"/>
      </w:r>
      <w:r>
        <w:rPr>
          <w:rFonts w:hint="eastAsia" w:ascii="Times New Roman" w:hAnsi="Times New Roman" w:eastAsia="仿宋" w:cs="仿宋"/>
          <w:bCs/>
          <w:szCs w:val="21"/>
          <w:lang w:val="zh-CN"/>
        </w:rPr>
        <w:fldChar w:fldCharType="end"/>
      </w:r>
    </w:p>
    <w:p w14:paraId="6F9D8FA7">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_Toc31990 </w:instrText>
      </w:r>
      <w:r>
        <w:rPr>
          <w:rFonts w:hint="eastAsia" w:ascii="Times New Roman" w:hAnsi="Times New Roman" w:eastAsia="仿宋" w:cs="仿宋"/>
          <w:bCs/>
          <w:szCs w:val="21"/>
          <w:lang w:val="zh-CN"/>
        </w:rPr>
        <w:fldChar w:fldCharType="separate"/>
      </w:r>
      <w:r>
        <w:rPr>
          <w:rFonts w:hint="eastAsia" w:ascii="Times New Roman" w:hAnsi="Times New Roman" w:eastAsia="仿宋" w:cs="Arial"/>
          <w:bCs/>
          <w:kern w:val="2"/>
          <w:szCs w:val="44"/>
        </w:rPr>
        <w:t>第五章 评比规则</w:t>
      </w:r>
      <w:r>
        <w:tab/>
      </w:r>
      <w:r>
        <w:fldChar w:fldCharType="begin"/>
      </w:r>
      <w:r>
        <w:instrText xml:space="preserve"> PAGEREF _Toc31990 \h </w:instrText>
      </w:r>
      <w:r>
        <w:fldChar w:fldCharType="separate"/>
      </w:r>
      <w:r>
        <w:t>- 16 -</w:t>
      </w:r>
      <w:r>
        <w:fldChar w:fldCharType="end"/>
      </w:r>
      <w:r>
        <w:rPr>
          <w:rFonts w:hint="eastAsia" w:ascii="Times New Roman" w:hAnsi="Times New Roman" w:eastAsia="仿宋" w:cs="仿宋"/>
          <w:bCs/>
          <w:szCs w:val="21"/>
          <w:lang w:val="zh-CN"/>
        </w:rPr>
        <w:fldChar w:fldCharType="end"/>
      </w:r>
    </w:p>
    <w:p w14:paraId="17B75530">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_Toc1635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一、规则</w:t>
      </w:r>
      <w:r>
        <w:tab/>
      </w:r>
      <w:r>
        <w:fldChar w:fldCharType="begin"/>
      </w:r>
      <w:r>
        <w:instrText xml:space="preserve"> PAGEREF _Toc1635 \h </w:instrText>
      </w:r>
      <w:r>
        <w:fldChar w:fldCharType="separate"/>
      </w:r>
      <w:r>
        <w:t>- 16 -</w:t>
      </w:r>
      <w:r>
        <w:fldChar w:fldCharType="end"/>
      </w:r>
      <w:r>
        <w:rPr>
          <w:rFonts w:hint="eastAsia" w:ascii="Times New Roman" w:hAnsi="Times New Roman" w:eastAsia="仿宋" w:cs="仿宋"/>
          <w:bCs/>
          <w:szCs w:val="21"/>
          <w:lang w:val="zh-CN"/>
        </w:rPr>
        <w:fldChar w:fldCharType="end"/>
      </w:r>
    </w:p>
    <w:p w14:paraId="1A198103">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_Toc9831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二、资格审查</w:t>
      </w:r>
      <w:r>
        <w:tab/>
      </w:r>
      <w:r>
        <w:fldChar w:fldCharType="begin"/>
      </w:r>
      <w:r>
        <w:instrText xml:space="preserve"> PAGEREF _Toc9831 \h </w:instrText>
      </w:r>
      <w:r>
        <w:fldChar w:fldCharType="separate"/>
      </w:r>
      <w:r>
        <w:t>- 16 -</w:t>
      </w:r>
      <w:r>
        <w:fldChar w:fldCharType="end"/>
      </w:r>
      <w:r>
        <w:rPr>
          <w:rFonts w:hint="eastAsia" w:ascii="Times New Roman" w:hAnsi="Times New Roman" w:eastAsia="仿宋" w:cs="仿宋"/>
          <w:bCs/>
          <w:szCs w:val="21"/>
          <w:lang w:val="zh-CN"/>
        </w:rPr>
        <w:fldChar w:fldCharType="end"/>
      </w:r>
    </w:p>
    <w:p w14:paraId="29359469">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_Toc28558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三、比选办法</w:t>
      </w:r>
      <w:r>
        <w:tab/>
      </w:r>
      <w:r>
        <w:fldChar w:fldCharType="begin"/>
      </w:r>
      <w:r>
        <w:instrText xml:space="preserve"> PAGEREF _Toc28558 \h </w:instrText>
      </w:r>
      <w:r>
        <w:fldChar w:fldCharType="separate"/>
      </w:r>
      <w:r>
        <w:t>- 16 -</w:t>
      </w:r>
      <w:r>
        <w:fldChar w:fldCharType="end"/>
      </w:r>
      <w:r>
        <w:rPr>
          <w:rFonts w:hint="eastAsia" w:ascii="Times New Roman" w:hAnsi="Times New Roman" w:eastAsia="仿宋" w:cs="仿宋"/>
          <w:bCs/>
          <w:szCs w:val="21"/>
          <w:lang w:val="zh-CN"/>
        </w:rPr>
        <w:fldChar w:fldCharType="end"/>
      </w:r>
    </w:p>
    <w:p w14:paraId="06FCD015">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_Toc15560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四、以下情况作废选处理</w:t>
      </w:r>
      <w:r>
        <w:tab/>
      </w:r>
      <w:r>
        <w:fldChar w:fldCharType="begin"/>
      </w:r>
      <w:r>
        <w:instrText xml:space="preserve"> PAGEREF _Toc15560 \h </w:instrText>
      </w:r>
      <w:r>
        <w:fldChar w:fldCharType="separate"/>
      </w:r>
      <w:r>
        <w:t>- 19 -</w:t>
      </w:r>
      <w:r>
        <w:fldChar w:fldCharType="end"/>
      </w:r>
      <w:r>
        <w:rPr>
          <w:rFonts w:hint="eastAsia" w:ascii="Times New Roman" w:hAnsi="Times New Roman" w:eastAsia="仿宋" w:cs="仿宋"/>
          <w:bCs/>
          <w:szCs w:val="21"/>
          <w:lang w:val="zh-CN"/>
        </w:rPr>
        <w:fldChar w:fldCharType="end"/>
      </w:r>
    </w:p>
    <w:p w14:paraId="10269916">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_Toc12923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五、评选</w:t>
      </w:r>
      <w:r>
        <w:tab/>
      </w:r>
      <w:r>
        <w:fldChar w:fldCharType="begin"/>
      </w:r>
      <w:r>
        <w:instrText xml:space="preserve"> PAGEREF _Toc12923 \h </w:instrText>
      </w:r>
      <w:r>
        <w:fldChar w:fldCharType="separate"/>
      </w:r>
      <w:r>
        <w:t>- 19 -</w:t>
      </w:r>
      <w:r>
        <w:fldChar w:fldCharType="end"/>
      </w:r>
      <w:r>
        <w:rPr>
          <w:rFonts w:hint="eastAsia" w:ascii="Times New Roman" w:hAnsi="Times New Roman" w:eastAsia="仿宋" w:cs="仿宋"/>
          <w:bCs/>
          <w:szCs w:val="21"/>
          <w:lang w:val="zh-CN"/>
        </w:rPr>
        <w:fldChar w:fldCharType="end"/>
      </w:r>
    </w:p>
    <w:p w14:paraId="6F0D9056">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_Toc29420 </w:instrText>
      </w:r>
      <w:r>
        <w:rPr>
          <w:rFonts w:hint="eastAsia" w:ascii="Times New Roman" w:hAnsi="Times New Roman" w:eastAsia="仿宋" w:cs="仿宋"/>
          <w:bCs/>
          <w:szCs w:val="21"/>
          <w:lang w:val="zh-CN"/>
        </w:rPr>
        <w:fldChar w:fldCharType="separate"/>
      </w:r>
      <w:r>
        <w:rPr>
          <w:rFonts w:hint="eastAsia" w:ascii="Times New Roman" w:hAnsi="Times New Roman" w:eastAsia="仿宋" w:cs="Arial"/>
          <w:bCs/>
          <w:kern w:val="2"/>
          <w:szCs w:val="44"/>
        </w:rPr>
        <w:t>第六章 合同授予</w:t>
      </w:r>
      <w:r>
        <w:tab/>
      </w:r>
      <w:r>
        <w:fldChar w:fldCharType="begin"/>
      </w:r>
      <w:r>
        <w:instrText xml:space="preserve"> PAGEREF _Toc29420 \h </w:instrText>
      </w:r>
      <w:r>
        <w:fldChar w:fldCharType="separate"/>
      </w:r>
      <w:r>
        <w:t>- 20 -</w:t>
      </w:r>
      <w:r>
        <w:fldChar w:fldCharType="end"/>
      </w:r>
      <w:r>
        <w:rPr>
          <w:rFonts w:hint="eastAsia" w:ascii="Times New Roman" w:hAnsi="Times New Roman" w:eastAsia="仿宋" w:cs="仿宋"/>
          <w:bCs/>
          <w:szCs w:val="21"/>
          <w:lang w:val="zh-CN"/>
        </w:rPr>
        <w:fldChar w:fldCharType="end"/>
      </w:r>
    </w:p>
    <w:p w14:paraId="4A218319">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_Toc24561 </w:instrText>
      </w:r>
      <w:r>
        <w:rPr>
          <w:rFonts w:hint="eastAsia" w:ascii="Times New Roman" w:hAnsi="Times New Roman" w:eastAsia="仿宋" w:cs="仿宋"/>
          <w:bCs/>
          <w:szCs w:val="21"/>
          <w:lang w:val="zh-CN"/>
        </w:rPr>
        <w:fldChar w:fldCharType="separate"/>
      </w:r>
      <w:r>
        <w:rPr>
          <w:rFonts w:hint="eastAsia" w:ascii="Times New Roman" w:hAnsi="Times New Roman" w:eastAsia="仿宋" w:cs="Arial"/>
          <w:bCs/>
          <w:kern w:val="2"/>
          <w:szCs w:val="44"/>
        </w:rPr>
        <w:t>第七章 中选后相关履约要求</w:t>
      </w:r>
      <w:r>
        <w:tab/>
      </w:r>
      <w:r>
        <w:fldChar w:fldCharType="begin"/>
      </w:r>
      <w:r>
        <w:instrText xml:space="preserve"> PAGEREF _Toc24561 \h </w:instrText>
      </w:r>
      <w:r>
        <w:fldChar w:fldCharType="separate"/>
      </w:r>
      <w:r>
        <w:t>- 21 -</w:t>
      </w:r>
      <w:r>
        <w:fldChar w:fldCharType="end"/>
      </w:r>
      <w:r>
        <w:rPr>
          <w:rFonts w:hint="eastAsia" w:ascii="Times New Roman" w:hAnsi="Times New Roman" w:eastAsia="仿宋" w:cs="仿宋"/>
          <w:bCs/>
          <w:szCs w:val="21"/>
          <w:lang w:val="zh-CN"/>
        </w:rPr>
        <w:fldChar w:fldCharType="end"/>
      </w:r>
    </w:p>
    <w:p w14:paraId="5B0053CC">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_Toc5384 </w:instrText>
      </w:r>
      <w:r>
        <w:rPr>
          <w:rFonts w:hint="eastAsia" w:ascii="Times New Roman" w:hAnsi="Times New Roman" w:eastAsia="仿宋" w:cs="仿宋"/>
          <w:bCs/>
          <w:szCs w:val="21"/>
          <w:lang w:val="zh-CN"/>
        </w:rPr>
        <w:fldChar w:fldCharType="separate"/>
      </w:r>
      <w:r>
        <w:rPr>
          <w:rFonts w:hint="eastAsia" w:ascii="Times New Roman" w:hAnsi="Times New Roman" w:eastAsia="仿宋" w:cs="Arial"/>
          <w:bCs/>
          <w:kern w:val="2"/>
          <w:szCs w:val="44"/>
        </w:rPr>
        <w:t>第八章 其它</w:t>
      </w:r>
      <w:r>
        <w:tab/>
      </w:r>
      <w:r>
        <w:fldChar w:fldCharType="begin"/>
      </w:r>
      <w:r>
        <w:instrText xml:space="preserve"> PAGEREF _Toc5384 \h </w:instrText>
      </w:r>
      <w:r>
        <w:fldChar w:fldCharType="separate"/>
      </w:r>
      <w:r>
        <w:t>- 22 -</w:t>
      </w:r>
      <w:r>
        <w:fldChar w:fldCharType="end"/>
      </w:r>
      <w:r>
        <w:rPr>
          <w:rFonts w:hint="eastAsia" w:ascii="Times New Roman" w:hAnsi="Times New Roman" w:eastAsia="仿宋" w:cs="仿宋"/>
          <w:bCs/>
          <w:szCs w:val="21"/>
          <w:lang w:val="zh-CN"/>
        </w:rPr>
        <w:fldChar w:fldCharType="end"/>
      </w:r>
    </w:p>
    <w:p w14:paraId="0408067A">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_Toc11197 </w:instrText>
      </w:r>
      <w:r>
        <w:rPr>
          <w:rFonts w:hint="eastAsia" w:ascii="Times New Roman" w:hAnsi="Times New Roman" w:eastAsia="仿宋" w:cs="仿宋"/>
          <w:bCs/>
          <w:szCs w:val="21"/>
          <w:lang w:val="zh-CN"/>
        </w:rPr>
        <w:fldChar w:fldCharType="separate"/>
      </w:r>
      <w:r>
        <w:rPr>
          <w:rFonts w:hint="eastAsia" w:ascii="Times New Roman" w:hAnsi="Times New Roman" w:eastAsia="仿宋"/>
          <w:szCs w:val="44"/>
        </w:rPr>
        <w:t>附件一  合同范本</w:t>
      </w:r>
      <w:r>
        <w:tab/>
      </w:r>
      <w:r>
        <w:fldChar w:fldCharType="begin"/>
      </w:r>
      <w:r>
        <w:instrText xml:space="preserve"> PAGEREF _Toc11197 \h </w:instrText>
      </w:r>
      <w:r>
        <w:fldChar w:fldCharType="separate"/>
      </w:r>
      <w:r>
        <w:t>- 23 -</w:t>
      </w:r>
      <w:r>
        <w:fldChar w:fldCharType="end"/>
      </w:r>
      <w:r>
        <w:rPr>
          <w:rFonts w:hint="eastAsia" w:ascii="Times New Roman" w:hAnsi="Times New Roman" w:eastAsia="仿宋" w:cs="仿宋"/>
          <w:bCs/>
          <w:szCs w:val="21"/>
          <w:lang w:val="zh-CN"/>
        </w:rPr>
        <w:fldChar w:fldCharType="end"/>
      </w:r>
    </w:p>
    <w:p w14:paraId="3A729744">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_Toc1636 </w:instrText>
      </w:r>
      <w:r>
        <w:rPr>
          <w:rFonts w:hint="eastAsia" w:ascii="Times New Roman" w:hAnsi="Times New Roman" w:eastAsia="仿宋" w:cs="仿宋"/>
          <w:bCs/>
          <w:szCs w:val="21"/>
          <w:lang w:val="zh-CN"/>
        </w:rPr>
        <w:fldChar w:fldCharType="separate"/>
      </w:r>
      <w:r>
        <w:rPr>
          <w:rFonts w:hint="eastAsia" w:ascii="Times New Roman" w:hAnsi="Times New Roman" w:eastAsia="仿宋"/>
          <w:szCs w:val="44"/>
        </w:rPr>
        <w:t xml:space="preserve">附件二 </w:t>
      </w:r>
      <w:r>
        <w:rPr>
          <w:rFonts w:ascii="Times New Roman" w:hAnsi="Times New Roman" w:eastAsia="仿宋"/>
          <w:szCs w:val="44"/>
        </w:rPr>
        <w:t xml:space="preserve"> </w:t>
      </w:r>
      <w:r>
        <w:rPr>
          <w:rFonts w:hint="eastAsia" w:ascii="Times New Roman" w:hAnsi="Times New Roman" w:eastAsia="仿宋"/>
          <w:szCs w:val="44"/>
        </w:rPr>
        <w:t>参选文件格式</w:t>
      </w:r>
      <w:r>
        <w:tab/>
      </w:r>
      <w:r>
        <w:fldChar w:fldCharType="begin"/>
      </w:r>
      <w:r>
        <w:instrText xml:space="preserve"> PAGEREF _Toc1636 \h </w:instrText>
      </w:r>
      <w:r>
        <w:fldChar w:fldCharType="separate"/>
      </w:r>
      <w:r>
        <w:t>- 30 -</w:t>
      </w:r>
      <w:r>
        <w:fldChar w:fldCharType="end"/>
      </w:r>
      <w:r>
        <w:rPr>
          <w:rFonts w:hint="eastAsia" w:ascii="Times New Roman" w:hAnsi="Times New Roman" w:eastAsia="仿宋" w:cs="仿宋"/>
          <w:bCs/>
          <w:szCs w:val="21"/>
          <w:lang w:val="zh-CN"/>
        </w:rPr>
        <w:fldChar w:fldCharType="end"/>
      </w:r>
    </w:p>
    <w:p w14:paraId="02F74455">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_Toc6154 </w:instrText>
      </w:r>
      <w:r>
        <w:rPr>
          <w:rFonts w:hint="eastAsia" w:ascii="Times New Roman" w:hAnsi="Times New Roman" w:eastAsia="仿宋" w:cs="仿宋"/>
          <w:bCs/>
          <w:szCs w:val="21"/>
          <w:lang w:val="zh-CN"/>
        </w:rPr>
        <w:fldChar w:fldCharType="separate"/>
      </w:r>
      <w:r>
        <w:rPr>
          <w:rFonts w:hint="eastAsia" w:ascii="Times New Roman" w:hAnsi="Times New Roman" w:eastAsia="仿宋"/>
          <w:szCs w:val="44"/>
        </w:rPr>
        <w:t xml:space="preserve">附件三 </w:t>
      </w:r>
      <w:r>
        <w:rPr>
          <w:rFonts w:ascii="Times New Roman" w:hAnsi="Times New Roman" w:eastAsia="仿宋"/>
          <w:szCs w:val="44"/>
        </w:rPr>
        <w:t xml:space="preserve"> </w:t>
      </w:r>
      <w:r>
        <w:rPr>
          <w:rFonts w:hint="eastAsia" w:ascii="Times New Roman" w:hAnsi="Times New Roman" w:eastAsia="仿宋"/>
          <w:szCs w:val="44"/>
        </w:rPr>
        <w:t>参选报价单</w:t>
      </w:r>
      <w:r>
        <w:tab/>
      </w:r>
      <w:r>
        <w:fldChar w:fldCharType="begin"/>
      </w:r>
      <w:r>
        <w:instrText xml:space="preserve"> PAGEREF _Toc6154 \h </w:instrText>
      </w:r>
      <w:r>
        <w:fldChar w:fldCharType="separate"/>
      </w:r>
      <w:r>
        <w:t>- 31 -</w:t>
      </w:r>
      <w:r>
        <w:fldChar w:fldCharType="end"/>
      </w:r>
      <w:r>
        <w:rPr>
          <w:rFonts w:hint="eastAsia" w:ascii="Times New Roman" w:hAnsi="Times New Roman" w:eastAsia="仿宋" w:cs="仿宋"/>
          <w:bCs/>
          <w:szCs w:val="21"/>
          <w:lang w:val="zh-CN"/>
        </w:rPr>
        <w:fldChar w:fldCharType="end"/>
      </w:r>
    </w:p>
    <w:p w14:paraId="685F7146">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_Toc17525 </w:instrText>
      </w:r>
      <w:r>
        <w:rPr>
          <w:rFonts w:hint="eastAsia" w:ascii="Times New Roman" w:hAnsi="Times New Roman" w:eastAsia="仿宋" w:cs="仿宋"/>
          <w:bCs/>
          <w:szCs w:val="21"/>
          <w:lang w:val="zh-CN"/>
        </w:rPr>
        <w:fldChar w:fldCharType="separate"/>
      </w:r>
      <w:r>
        <w:rPr>
          <w:rFonts w:hint="eastAsia" w:ascii="Times New Roman" w:hAnsi="Times New Roman" w:eastAsia="仿宋"/>
          <w:szCs w:val="44"/>
        </w:rPr>
        <w:t xml:space="preserve">附件四 </w:t>
      </w:r>
      <w:r>
        <w:rPr>
          <w:rFonts w:ascii="Times New Roman" w:hAnsi="Times New Roman" w:eastAsia="仿宋"/>
          <w:szCs w:val="44"/>
        </w:rPr>
        <w:t xml:space="preserve"> </w:t>
      </w:r>
      <w:r>
        <w:rPr>
          <w:rFonts w:hint="eastAsia" w:ascii="Times New Roman" w:hAnsi="Times New Roman" w:eastAsia="仿宋"/>
          <w:szCs w:val="44"/>
        </w:rPr>
        <w:t>法定代表人授权委托书</w:t>
      </w:r>
      <w:r>
        <w:tab/>
      </w:r>
      <w:r>
        <w:fldChar w:fldCharType="begin"/>
      </w:r>
      <w:r>
        <w:instrText xml:space="preserve"> PAGEREF _Toc17525 \h </w:instrText>
      </w:r>
      <w:r>
        <w:fldChar w:fldCharType="separate"/>
      </w:r>
      <w:r>
        <w:t>- 32 -</w:t>
      </w:r>
      <w:r>
        <w:fldChar w:fldCharType="end"/>
      </w:r>
      <w:r>
        <w:rPr>
          <w:rFonts w:hint="eastAsia" w:ascii="Times New Roman" w:hAnsi="Times New Roman" w:eastAsia="仿宋" w:cs="仿宋"/>
          <w:bCs/>
          <w:szCs w:val="21"/>
          <w:lang w:val="zh-CN"/>
        </w:rPr>
        <w:fldChar w:fldCharType="end"/>
      </w:r>
    </w:p>
    <w:p w14:paraId="262DB1EE">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_Toc2192 </w:instrText>
      </w:r>
      <w:r>
        <w:rPr>
          <w:rFonts w:hint="eastAsia" w:ascii="Times New Roman" w:hAnsi="Times New Roman" w:eastAsia="仿宋" w:cs="仿宋"/>
          <w:bCs/>
          <w:szCs w:val="21"/>
          <w:lang w:val="zh-CN"/>
        </w:rPr>
        <w:fldChar w:fldCharType="separate"/>
      </w:r>
      <w:r>
        <w:rPr>
          <w:rFonts w:hint="eastAsia" w:ascii="Times New Roman" w:hAnsi="Times New Roman" w:eastAsia="仿宋"/>
          <w:szCs w:val="44"/>
        </w:rPr>
        <w:t>附件五  承诺函</w:t>
      </w:r>
      <w:r>
        <w:tab/>
      </w:r>
      <w:r>
        <w:fldChar w:fldCharType="begin"/>
      </w:r>
      <w:r>
        <w:instrText xml:space="preserve"> PAGEREF _Toc2192 \h </w:instrText>
      </w:r>
      <w:r>
        <w:fldChar w:fldCharType="separate"/>
      </w:r>
      <w:r>
        <w:t>- 33 -</w:t>
      </w:r>
      <w:r>
        <w:fldChar w:fldCharType="end"/>
      </w:r>
      <w:r>
        <w:rPr>
          <w:rFonts w:hint="eastAsia" w:ascii="Times New Roman" w:hAnsi="Times New Roman" w:eastAsia="仿宋" w:cs="仿宋"/>
          <w:bCs/>
          <w:szCs w:val="21"/>
          <w:lang w:val="zh-CN"/>
        </w:rPr>
        <w:fldChar w:fldCharType="end"/>
      </w:r>
    </w:p>
    <w:p w14:paraId="034633EB">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_Toc22496 </w:instrText>
      </w:r>
      <w:r>
        <w:rPr>
          <w:rFonts w:hint="eastAsia" w:ascii="Times New Roman" w:hAnsi="Times New Roman" w:eastAsia="仿宋" w:cs="仿宋"/>
          <w:bCs/>
          <w:szCs w:val="21"/>
          <w:lang w:val="zh-CN"/>
        </w:rPr>
        <w:fldChar w:fldCharType="separate"/>
      </w:r>
      <w:r>
        <w:rPr>
          <w:rFonts w:hint="eastAsia" w:ascii="Times New Roman" w:hAnsi="Times New Roman" w:eastAsia="仿宋"/>
          <w:szCs w:val="44"/>
        </w:rPr>
        <w:t xml:space="preserve">附件六 </w:t>
      </w:r>
      <w:r>
        <w:rPr>
          <w:rFonts w:ascii="Times New Roman" w:hAnsi="Times New Roman" w:eastAsia="仿宋"/>
          <w:szCs w:val="44"/>
        </w:rPr>
        <w:t xml:space="preserve"> 参选函</w:t>
      </w:r>
      <w:r>
        <w:tab/>
      </w:r>
      <w:r>
        <w:fldChar w:fldCharType="begin"/>
      </w:r>
      <w:r>
        <w:instrText xml:space="preserve"> PAGEREF _Toc22496 \h </w:instrText>
      </w:r>
      <w:r>
        <w:fldChar w:fldCharType="separate"/>
      </w:r>
      <w:r>
        <w:t>- 34 -</w:t>
      </w:r>
      <w:r>
        <w:fldChar w:fldCharType="end"/>
      </w:r>
      <w:r>
        <w:rPr>
          <w:rFonts w:hint="eastAsia" w:ascii="Times New Roman" w:hAnsi="Times New Roman" w:eastAsia="仿宋" w:cs="仿宋"/>
          <w:bCs/>
          <w:szCs w:val="21"/>
          <w:lang w:val="zh-CN"/>
        </w:rPr>
        <w:fldChar w:fldCharType="end"/>
      </w:r>
    </w:p>
    <w:p w14:paraId="2C6CD2D4">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_Toc28667 </w:instrText>
      </w:r>
      <w:r>
        <w:rPr>
          <w:rFonts w:hint="eastAsia" w:ascii="Times New Roman" w:hAnsi="Times New Roman" w:eastAsia="仿宋" w:cs="仿宋"/>
          <w:bCs/>
          <w:szCs w:val="21"/>
          <w:lang w:val="zh-CN"/>
        </w:rPr>
        <w:fldChar w:fldCharType="separate"/>
      </w:r>
      <w:r>
        <w:rPr>
          <w:rFonts w:hint="eastAsia" w:ascii="Times New Roman" w:hAnsi="Times New Roman" w:eastAsia="仿宋"/>
          <w:szCs w:val="44"/>
        </w:rPr>
        <w:t xml:space="preserve">附件七 </w:t>
      </w:r>
      <w:r>
        <w:rPr>
          <w:rFonts w:ascii="Times New Roman" w:hAnsi="Times New Roman" w:eastAsia="仿宋"/>
          <w:szCs w:val="44"/>
        </w:rPr>
        <w:t xml:space="preserve"> </w:t>
      </w:r>
      <w:r>
        <w:rPr>
          <w:rFonts w:hint="eastAsia" w:ascii="Times New Roman" w:hAnsi="Times New Roman" w:eastAsia="仿宋"/>
          <w:szCs w:val="44"/>
        </w:rPr>
        <w:t>资格证明文件</w:t>
      </w:r>
      <w:r>
        <w:tab/>
      </w:r>
      <w:r>
        <w:fldChar w:fldCharType="begin"/>
      </w:r>
      <w:r>
        <w:instrText xml:space="preserve"> PAGEREF _Toc28667 \h </w:instrText>
      </w:r>
      <w:r>
        <w:fldChar w:fldCharType="separate"/>
      </w:r>
      <w:r>
        <w:t>- 35 -</w:t>
      </w:r>
      <w:r>
        <w:fldChar w:fldCharType="end"/>
      </w:r>
      <w:r>
        <w:rPr>
          <w:rFonts w:hint="eastAsia" w:ascii="Times New Roman" w:hAnsi="Times New Roman" w:eastAsia="仿宋" w:cs="仿宋"/>
          <w:bCs/>
          <w:szCs w:val="21"/>
          <w:lang w:val="zh-CN"/>
        </w:rPr>
        <w:fldChar w:fldCharType="end"/>
      </w:r>
    </w:p>
    <w:p w14:paraId="53C4E263">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_Toc19127 </w:instrText>
      </w:r>
      <w:r>
        <w:rPr>
          <w:rFonts w:hint="eastAsia" w:ascii="Times New Roman" w:hAnsi="Times New Roman" w:eastAsia="仿宋" w:cs="仿宋"/>
          <w:bCs/>
          <w:szCs w:val="21"/>
          <w:lang w:val="zh-CN"/>
        </w:rPr>
        <w:fldChar w:fldCharType="separate"/>
      </w:r>
      <w:r>
        <w:rPr>
          <w:rFonts w:hint="eastAsia" w:ascii="Times New Roman" w:hAnsi="Times New Roman" w:eastAsia="仿宋" w:cs="Arial"/>
          <w:bCs/>
          <w:kern w:val="2"/>
          <w:szCs w:val="44"/>
        </w:rPr>
        <w:t>附件八  技术方案</w:t>
      </w:r>
      <w:r>
        <w:tab/>
      </w:r>
      <w:r>
        <w:fldChar w:fldCharType="begin"/>
      </w:r>
      <w:r>
        <w:instrText xml:space="preserve"> PAGEREF _Toc19127 \h </w:instrText>
      </w:r>
      <w:r>
        <w:fldChar w:fldCharType="separate"/>
      </w:r>
      <w:r>
        <w:t>- 40 -</w:t>
      </w:r>
      <w:r>
        <w:fldChar w:fldCharType="end"/>
      </w:r>
      <w:r>
        <w:rPr>
          <w:rFonts w:hint="eastAsia" w:ascii="Times New Roman" w:hAnsi="Times New Roman" w:eastAsia="仿宋" w:cs="仿宋"/>
          <w:bCs/>
          <w:szCs w:val="21"/>
          <w:lang w:val="zh-CN"/>
        </w:rPr>
        <w:fldChar w:fldCharType="end"/>
      </w:r>
    </w:p>
    <w:p w14:paraId="57D3D749">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_Toc29132 </w:instrText>
      </w:r>
      <w:r>
        <w:rPr>
          <w:rFonts w:hint="eastAsia" w:ascii="Times New Roman" w:hAnsi="Times New Roman" w:eastAsia="仿宋" w:cs="仿宋"/>
          <w:bCs/>
          <w:szCs w:val="21"/>
          <w:lang w:val="zh-CN"/>
        </w:rPr>
        <w:fldChar w:fldCharType="separate"/>
      </w:r>
      <w:r>
        <w:rPr>
          <w:rFonts w:hint="eastAsia" w:ascii="Times New Roman" w:hAnsi="Times New Roman" w:eastAsia="仿宋"/>
          <w:szCs w:val="44"/>
        </w:rPr>
        <w:t xml:space="preserve">附件九 </w:t>
      </w:r>
      <w:r>
        <w:rPr>
          <w:rFonts w:ascii="Times New Roman" w:hAnsi="Times New Roman" w:eastAsia="仿宋"/>
          <w:szCs w:val="44"/>
        </w:rPr>
        <w:t xml:space="preserve"> </w:t>
      </w:r>
      <w:r>
        <w:rPr>
          <w:rFonts w:hint="eastAsia" w:ascii="Times New Roman" w:hAnsi="Times New Roman" w:eastAsia="仿宋"/>
          <w:szCs w:val="44"/>
        </w:rPr>
        <w:t>比选文件要求响应偏离表</w:t>
      </w:r>
      <w:r>
        <w:tab/>
      </w:r>
      <w:r>
        <w:fldChar w:fldCharType="begin"/>
      </w:r>
      <w:r>
        <w:instrText xml:space="preserve"> PAGEREF _Toc29132 \h </w:instrText>
      </w:r>
      <w:r>
        <w:fldChar w:fldCharType="separate"/>
      </w:r>
      <w:r>
        <w:t>- 41 -</w:t>
      </w:r>
      <w:r>
        <w:fldChar w:fldCharType="end"/>
      </w:r>
      <w:r>
        <w:rPr>
          <w:rFonts w:hint="eastAsia" w:ascii="Times New Roman" w:hAnsi="Times New Roman" w:eastAsia="仿宋" w:cs="仿宋"/>
          <w:bCs/>
          <w:szCs w:val="21"/>
          <w:lang w:val="zh-CN"/>
        </w:rPr>
        <w:fldChar w:fldCharType="end"/>
      </w:r>
    </w:p>
    <w:p w14:paraId="1086B30F">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_Toc13668 </w:instrText>
      </w:r>
      <w:r>
        <w:rPr>
          <w:rFonts w:hint="eastAsia" w:ascii="Times New Roman" w:hAnsi="Times New Roman" w:eastAsia="仿宋" w:cs="仿宋"/>
          <w:bCs/>
          <w:szCs w:val="21"/>
          <w:lang w:val="zh-CN"/>
        </w:rPr>
        <w:fldChar w:fldCharType="separate"/>
      </w:r>
      <w:r>
        <w:rPr>
          <w:rFonts w:hint="eastAsia" w:ascii="Times New Roman" w:hAnsi="Times New Roman" w:eastAsia="仿宋" w:cs="仿宋"/>
          <w:bCs/>
          <w:szCs w:val="44"/>
        </w:rPr>
        <w:t>附件十</w:t>
      </w:r>
      <w:r>
        <w:rPr>
          <w:rFonts w:hint="eastAsia" w:ascii="Times New Roman" w:hAnsi="Times New Roman" w:eastAsia="仿宋" w:cs="仿宋"/>
          <w:bCs/>
          <w:szCs w:val="44"/>
          <w:lang w:val="en-US" w:eastAsia="zh-CN"/>
        </w:rPr>
        <w:t xml:space="preserve"> </w:t>
      </w:r>
      <w:r>
        <w:rPr>
          <w:rFonts w:hint="eastAsia" w:ascii="Times New Roman" w:hAnsi="Times New Roman" w:eastAsia="仿宋" w:cs="仿宋"/>
          <w:bCs/>
          <w:szCs w:val="44"/>
        </w:rPr>
        <w:t>商务评分标准对照情况点对点应答表</w:t>
      </w:r>
      <w:r>
        <w:tab/>
      </w:r>
      <w:r>
        <w:fldChar w:fldCharType="begin"/>
      </w:r>
      <w:r>
        <w:instrText xml:space="preserve"> PAGEREF _Toc13668 \h </w:instrText>
      </w:r>
      <w:r>
        <w:fldChar w:fldCharType="separate"/>
      </w:r>
      <w:r>
        <w:t>- 42 -</w:t>
      </w:r>
      <w:r>
        <w:fldChar w:fldCharType="end"/>
      </w:r>
      <w:r>
        <w:rPr>
          <w:rFonts w:hint="eastAsia" w:ascii="Times New Roman" w:hAnsi="Times New Roman" w:eastAsia="仿宋" w:cs="仿宋"/>
          <w:bCs/>
          <w:szCs w:val="21"/>
          <w:lang w:val="zh-CN"/>
        </w:rPr>
        <w:fldChar w:fldCharType="end"/>
      </w:r>
    </w:p>
    <w:p w14:paraId="0869EB68">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_Toc25604 </w:instrText>
      </w:r>
      <w:r>
        <w:rPr>
          <w:rFonts w:hint="eastAsia" w:ascii="Times New Roman" w:hAnsi="Times New Roman" w:eastAsia="仿宋" w:cs="仿宋"/>
          <w:bCs/>
          <w:szCs w:val="21"/>
          <w:lang w:val="zh-CN"/>
        </w:rPr>
        <w:fldChar w:fldCharType="separate"/>
      </w:r>
      <w:r>
        <w:rPr>
          <w:rFonts w:hint="eastAsia" w:ascii="Times New Roman" w:hAnsi="Times New Roman" w:eastAsia="仿宋" w:cs="仿宋"/>
          <w:bCs/>
          <w:szCs w:val="44"/>
        </w:rPr>
        <w:t>附件十一</w:t>
      </w:r>
      <w:r>
        <w:rPr>
          <w:rFonts w:hint="eastAsia" w:ascii="Times New Roman" w:hAnsi="Times New Roman" w:eastAsia="仿宋" w:cs="仿宋"/>
          <w:bCs/>
          <w:szCs w:val="44"/>
          <w:lang w:val="en-US" w:eastAsia="zh-CN"/>
        </w:rPr>
        <w:t xml:space="preserve"> </w:t>
      </w:r>
      <w:r>
        <w:rPr>
          <w:rFonts w:hint="eastAsia" w:ascii="Times New Roman" w:hAnsi="Times New Roman" w:eastAsia="仿宋" w:cs="仿宋"/>
          <w:bCs/>
          <w:szCs w:val="44"/>
        </w:rPr>
        <w:t>技术评分标准对照情况点对点应答表</w:t>
      </w:r>
      <w:r>
        <w:tab/>
      </w:r>
      <w:r>
        <w:fldChar w:fldCharType="begin"/>
      </w:r>
      <w:r>
        <w:instrText xml:space="preserve"> PAGEREF _Toc25604 \h </w:instrText>
      </w:r>
      <w:r>
        <w:fldChar w:fldCharType="separate"/>
      </w:r>
      <w:r>
        <w:t>- 43 -</w:t>
      </w:r>
      <w:r>
        <w:fldChar w:fldCharType="end"/>
      </w:r>
      <w:r>
        <w:rPr>
          <w:rFonts w:hint="eastAsia" w:ascii="Times New Roman" w:hAnsi="Times New Roman" w:eastAsia="仿宋" w:cs="仿宋"/>
          <w:bCs/>
          <w:szCs w:val="21"/>
          <w:lang w:val="zh-CN"/>
        </w:rPr>
        <w:fldChar w:fldCharType="end"/>
      </w:r>
    </w:p>
    <w:p w14:paraId="4C652ACE">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_Toc16414 </w:instrText>
      </w:r>
      <w:r>
        <w:rPr>
          <w:rFonts w:hint="eastAsia" w:ascii="Times New Roman" w:hAnsi="Times New Roman" w:eastAsia="仿宋" w:cs="仿宋"/>
          <w:bCs/>
          <w:szCs w:val="21"/>
          <w:lang w:val="zh-CN"/>
        </w:rPr>
        <w:fldChar w:fldCharType="separate"/>
      </w:r>
      <w:r>
        <w:rPr>
          <w:rFonts w:hint="eastAsia" w:ascii="Times New Roman" w:hAnsi="Times New Roman" w:eastAsia="仿宋" w:cs="仿宋"/>
          <w:bCs/>
          <w:szCs w:val="44"/>
        </w:rPr>
        <w:t>附件十</w:t>
      </w:r>
      <w:r>
        <w:rPr>
          <w:rFonts w:hint="eastAsia" w:ascii="Times New Roman" w:hAnsi="Times New Roman" w:eastAsia="仿宋" w:cs="仿宋"/>
          <w:bCs/>
          <w:szCs w:val="44"/>
          <w:lang w:val="en-US" w:eastAsia="zh-CN"/>
        </w:rPr>
        <w:t xml:space="preserve">二 </w:t>
      </w:r>
      <w:r>
        <w:rPr>
          <w:rFonts w:hint="eastAsia" w:ascii="Times New Roman" w:hAnsi="Times New Roman" w:eastAsia="仿宋" w:cs="仿宋"/>
          <w:bCs/>
          <w:szCs w:val="44"/>
        </w:rPr>
        <w:t>其他技术及商务证明材料</w:t>
      </w:r>
      <w:r>
        <w:tab/>
      </w:r>
      <w:r>
        <w:fldChar w:fldCharType="begin"/>
      </w:r>
      <w:r>
        <w:instrText xml:space="preserve"> PAGEREF _Toc16414 \h </w:instrText>
      </w:r>
      <w:r>
        <w:fldChar w:fldCharType="separate"/>
      </w:r>
      <w:r>
        <w:t>- 44 -</w:t>
      </w:r>
      <w:r>
        <w:fldChar w:fldCharType="end"/>
      </w:r>
      <w:r>
        <w:rPr>
          <w:rFonts w:hint="eastAsia" w:ascii="Times New Roman" w:hAnsi="Times New Roman" w:eastAsia="仿宋" w:cs="仿宋"/>
          <w:bCs/>
          <w:szCs w:val="21"/>
          <w:lang w:val="zh-CN"/>
        </w:rPr>
        <w:fldChar w:fldCharType="end"/>
      </w:r>
    </w:p>
    <w:p w14:paraId="58F28A5A">
      <w:pPr>
        <w:spacing w:line="560" w:lineRule="exact"/>
        <w:rPr>
          <w:rFonts w:ascii="Times New Roman" w:hAnsi="Times New Roman"/>
        </w:rPr>
      </w:pPr>
      <w:r>
        <w:rPr>
          <w:rFonts w:hint="eastAsia" w:ascii="Times New Roman" w:hAnsi="Times New Roman" w:eastAsia="仿宋" w:cs="仿宋"/>
          <w:bCs/>
          <w:szCs w:val="21"/>
          <w:lang w:val="zh-CN"/>
        </w:rPr>
        <w:fldChar w:fldCharType="end"/>
      </w:r>
    </w:p>
    <w:p w14:paraId="52EE0B72">
      <w:pPr>
        <w:pStyle w:val="16"/>
        <w:tabs>
          <w:tab w:val="left" w:pos="2493"/>
          <w:tab w:val="center" w:pos="4677"/>
        </w:tabs>
        <w:spacing w:before="0" w:after="0" w:line="560" w:lineRule="exact"/>
        <w:jc w:val="left"/>
        <w:rPr>
          <w:rFonts w:ascii="Times New Roman" w:hAnsi="Times New Roman" w:eastAsia="仿宋"/>
          <w:sz w:val="44"/>
          <w:szCs w:val="44"/>
        </w:rPr>
        <w:sectPr>
          <w:footerReference r:id="rId7" w:type="first"/>
          <w:footerReference r:id="rId6" w:type="default"/>
          <w:pgSz w:w="11906" w:h="16838"/>
          <w:pgMar w:top="1361" w:right="1134" w:bottom="1134" w:left="1418" w:header="907" w:footer="992" w:gutter="0"/>
          <w:pgNumType w:fmt="decimal"/>
          <w:cols w:space="720" w:num="1"/>
          <w:titlePg/>
          <w:docGrid w:linePitch="312" w:charSpace="0"/>
        </w:sectPr>
      </w:pPr>
      <w:bookmarkStart w:id="7" w:name="_Toc486321056"/>
    </w:p>
    <w:p w14:paraId="7D2F9666">
      <w:pPr>
        <w:pStyle w:val="16"/>
        <w:tabs>
          <w:tab w:val="left" w:pos="2493"/>
          <w:tab w:val="center" w:pos="4677"/>
        </w:tabs>
        <w:spacing w:before="0" w:after="0" w:line="560" w:lineRule="exact"/>
        <w:jc w:val="center"/>
        <w:rPr>
          <w:rFonts w:ascii="Times New Roman" w:hAnsi="Times New Roman" w:eastAsia="仿宋"/>
          <w:sz w:val="44"/>
          <w:szCs w:val="44"/>
        </w:rPr>
      </w:pPr>
      <w:bookmarkStart w:id="8" w:name="_Toc17260"/>
      <w:bookmarkStart w:id="9" w:name="_Toc5648"/>
      <w:bookmarkStart w:id="10" w:name="_Toc28405"/>
      <w:bookmarkStart w:id="11" w:name="_Toc7837"/>
      <w:bookmarkStart w:id="12" w:name="_Toc28434"/>
      <w:bookmarkStart w:id="13" w:name="_Toc21323"/>
      <w:bookmarkStart w:id="14" w:name="_Toc15330"/>
      <w:bookmarkStart w:id="15" w:name="_Toc30191"/>
      <w:bookmarkStart w:id="16" w:name="_Toc5836"/>
      <w:bookmarkStart w:id="17" w:name="_Toc23475"/>
      <w:bookmarkStart w:id="18" w:name="_Toc28151"/>
      <w:bookmarkStart w:id="19" w:name="_Toc91421086"/>
      <w:r>
        <w:rPr>
          <w:rFonts w:hint="eastAsia" w:ascii="Times New Roman" w:hAnsi="Times New Roman" w:eastAsia="仿宋"/>
          <w:sz w:val="44"/>
          <w:szCs w:val="44"/>
        </w:rPr>
        <w:t>第一章  比选公告</w:t>
      </w:r>
      <w:bookmarkEnd w:id="7"/>
      <w:bookmarkEnd w:id="8"/>
      <w:bookmarkEnd w:id="9"/>
      <w:bookmarkEnd w:id="10"/>
      <w:bookmarkEnd w:id="11"/>
      <w:bookmarkEnd w:id="12"/>
      <w:bookmarkEnd w:id="13"/>
      <w:bookmarkEnd w:id="14"/>
      <w:bookmarkEnd w:id="15"/>
      <w:bookmarkEnd w:id="16"/>
      <w:bookmarkEnd w:id="17"/>
      <w:bookmarkEnd w:id="18"/>
      <w:bookmarkEnd w:id="19"/>
    </w:p>
    <w:p w14:paraId="03004468">
      <w:pPr>
        <w:spacing w:line="560" w:lineRule="exact"/>
        <w:jc w:val="left"/>
        <w:rPr>
          <w:rFonts w:ascii="Times New Roman" w:hAnsi="Times New Roman" w:eastAsia="仿宋" w:cs="仿宋"/>
        </w:rPr>
      </w:pPr>
      <w:r>
        <w:rPr>
          <w:rFonts w:hint="eastAsia" w:ascii="Times New Roman" w:hAnsi="Times New Roman" w:eastAsia="仿宋" w:cs="仿宋"/>
        </w:rPr>
        <w:t>福建省能源石化信息科技有限责任公司拟对</w:t>
      </w:r>
      <w:r>
        <w:rPr>
          <w:rFonts w:hint="eastAsia" w:ascii="Times New Roman" w:hAnsi="Times New Roman" w:eastAsia="仿宋" w:cs="仿宋"/>
          <w:lang w:eastAsia="zh-CN"/>
        </w:rPr>
        <w:t>福维新材料会议室系统建设项目</w:t>
      </w:r>
      <w:r>
        <w:rPr>
          <w:rFonts w:hint="eastAsia" w:ascii="Times New Roman" w:hAnsi="Times New Roman" w:eastAsia="仿宋" w:cs="仿宋"/>
        </w:rPr>
        <w:t>进行比选，选定中选人。为了“公开、公平、公正、透明”，引导参选人进行正确参选，特制定本文件。</w:t>
      </w:r>
    </w:p>
    <w:p w14:paraId="712836F4">
      <w:pPr>
        <w:spacing w:line="560" w:lineRule="exact"/>
        <w:ind w:firstLine="480" w:firstLineChars="200"/>
        <w:rPr>
          <w:rFonts w:ascii="Times New Roman" w:hAnsi="Times New Roman" w:eastAsia="仿宋" w:cs="仿宋"/>
        </w:rPr>
      </w:pPr>
      <w:r>
        <w:rPr>
          <w:rFonts w:hint="eastAsia" w:ascii="Times New Roman" w:hAnsi="Times New Roman" w:eastAsia="仿宋" w:cs="仿宋"/>
        </w:rPr>
        <w:t>一、参选人资格要求：</w:t>
      </w:r>
    </w:p>
    <w:p w14:paraId="0ED289F7">
      <w:pPr>
        <w:pStyle w:val="21"/>
        <w:numPr>
          <w:ilvl w:val="0"/>
          <w:numId w:val="1"/>
        </w:numPr>
        <w:spacing w:line="560" w:lineRule="exact"/>
        <w:ind w:firstLine="480"/>
        <w:rPr>
          <w:rFonts w:ascii="Times New Roman" w:hAnsi="Times New Roman" w:eastAsia="仿宋" w:cs="仿宋"/>
          <w:sz w:val="24"/>
          <w:szCs w:val="24"/>
        </w:rPr>
      </w:pPr>
      <w:r>
        <w:rPr>
          <w:rFonts w:hint="eastAsia" w:ascii="Times New Roman" w:hAnsi="Times New Roman" w:eastAsia="仿宋" w:cs="仿宋"/>
          <w:sz w:val="24"/>
          <w:szCs w:val="24"/>
        </w:rPr>
        <w:t>参选人须为合法注册并具有中国大陆独立法人资格的企业，且具有良好的财务状况和商业信誉，</w:t>
      </w:r>
      <w:r>
        <w:rPr>
          <w:rFonts w:hint="eastAsia" w:ascii="Times New Roman" w:hAnsi="Times New Roman" w:eastAsia="仿宋" w:cs="仿宋"/>
          <w:color w:val="000000"/>
          <w:sz w:val="24"/>
          <w:szCs w:val="24"/>
        </w:rPr>
        <w:t>禁止列入“信用中国”受惩黑名单和失信被执行人企业法人参加比选；参选人没有正在进行或将要发生的对参选人不利的重大诉讼或仲裁，</w:t>
      </w:r>
      <w:r>
        <w:rPr>
          <w:rFonts w:hint="eastAsia" w:ascii="Times New Roman" w:hAnsi="Times New Roman" w:eastAsia="仿宋" w:cs="仿宋"/>
          <w:sz w:val="24"/>
          <w:szCs w:val="24"/>
        </w:rPr>
        <w:t>经营年限内与比选人及其权属企业无诉讼/仲裁纠纷，无偷税漏税行为、无税务欺诈行为及其他违法经营行为，参选人须提供信用中国网站查询结果截图、营业执照复印件并加盖公章。</w:t>
      </w:r>
    </w:p>
    <w:p w14:paraId="0F271B99">
      <w:pPr>
        <w:pStyle w:val="21"/>
        <w:numPr>
          <w:ilvl w:val="0"/>
          <w:numId w:val="1"/>
        </w:numPr>
        <w:spacing w:line="560" w:lineRule="exact"/>
        <w:ind w:firstLine="480"/>
        <w:rPr>
          <w:rFonts w:ascii="Times New Roman" w:hAnsi="Times New Roman" w:eastAsia="仿宋" w:cs="仿宋"/>
          <w:sz w:val="24"/>
          <w:szCs w:val="24"/>
        </w:rPr>
      </w:pPr>
      <w:r>
        <w:rPr>
          <w:rFonts w:hint="eastAsia" w:ascii="Times New Roman" w:hAnsi="Times New Roman" w:eastAsia="仿宋" w:cs="仿宋"/>
          <w:sz w:val="24"/>
          <w:szCs w:val="24"/>
        </w:rPr>
        <w:t>参选代表应执有法定代表人的授权委托书（若为法定代表人直接参加可不需此件，但须提供法定代表人身份证复印件）。</w:t>
      </w:r>
    </w:p>
    <w:p w14:paraId="5075F2A7">
      <w:pPr>
        <w:pStyle w:val="21"/>
        <w:numPr>
          <w:ilvl w:val="0"/>
          <w:numId w:val="1"/>
        </w:numPr>
        <w:spacing w:line="560" w:lineRule="exact"/>
        <w:ind w:firstLineChars="0"/>
        <w:rPr>
          <w:rFonts w:ascii="Times New Roman" w:hAnsi="Times New Roman" w:eastAsia="仿宋" w:cs="仿宋"/>
          <w:sz w:val="24"/>
          <w:szCs w:val="24"/>
        </w:rPr>
      </w:pPr>
      <w:r>
        <w:rPr>
          <w:rFonts w:hint="eastAsia" w:ascii="Times New Roman" w:hAnsi="Times New Roman" w:eastAsia="仿宋" w:cs="仿宋"/>
          <w:sz w:val="24"/>
          <w:szCs w:val="24"/>
        </w:rPr>
        <w:t>参选人需提供上述相关资料证明。参选人提供的证明材料若为复印件，则复印件均须加盖公章，在中选后进行原件核对。如参选人提供资料证明与事实不符的，需承担相应的经济及法律责任，并取消参选或中选资格。</w:t>
      </w:r>
    </w:p>
    <w:p w14:paraId="00959131">
      <w:pPr>
        <w:pStyle w:val="21"/>
        <w:numPr>
          <w:ilvl w:val="0"/>
          <w:numId w:val="1"/>
        </w:numPr>
        <w:spacing w:line="560" w:lineRule="exact"/>
        <w:ind w:firstLine="480"/>
        <w:rPr>
          <w:rFonts w:ascii="Times New Roman" w:hAnsi="Times New Roman" w:eastAsia="仿宋" w:cs="仿宋"/>
          <w:sz w:val="24"/>
          <w:szCs w:val="24"/>
          <w:highlight w:val="none"/>
        </w:rPr>
      </w:pPr>
      <w:r>
        <w:rPr>
          <w:rFonts w:hint="eastAsia" w:ascii="Times New Roman" w:hAnsi="Times New Roman" w:eastAsia="仿宋" w:cs="仿宋"/>
          <w:sz w:val="24"/>
          <w:szCs w:val="24"/>
        </w:rPr>
        <w:t>其他资格要求详见本比选文件的其他规</w:t>
      </w:r>
      <w:r>
        <w:rPr>
          <w:rFonts w:hint="eastAsia" w:ascii="Times New Roman" w:hAnsi="Times New Roman" w:eastAsia="仿宋" w:cs="仿宋"/>
          <w:sz w:val="24"/>
          <w:szCs w:val="24"/>
          <w:highlight w:val="none"/>
        </w:rPr>
        <w:t>定。</w:t>
      </w:r>
    </w:p>
    <w:p w14:paraId="007EF000">
      <w:pPr>
        <w:numPr>
          <w:ilvl w:val="0"/>
          <w:numId w:val="2"/>
        </w:numPr>
        <w:spacing w:line="560" w:lineRule="exact"/>
        <w:ind w:firstLine="480" w:firstLineChars="200"/>
        <w:rPr>
          <w:rFonts w:ascii="Times New Roman" w:hAnsi="Times New Roman" w:eastAsia="仿宋"/>
          <w:highlight w:val="none"/>
        </w:rPr>
      </w:pPr>
      <w:r>
        <w:rPr>
          <w:rFonts w:hint="eastAsia" w:ascii="Times New Roman" w:hAnsi="Times New Roman" w:eastAsia="仿宋"/>
          <w:highlight w:val="none"/>
        </w:rPr>
        <w:t xml:space="preserve">参选文件递交截止时间：       </w:t>
      </w:r>
    </w:p>
    <w:p w14:paraId="66DDBC30">
      <w:pPr>
        <w:spacing w:line="560" w:lineRule="exact"/>
        <w:ind w:firstLine="480" w:firstLineChars="200"/>
        <w:rPr>
          <w:highlight w:val="none"/>
        </w:rPr>
      </w:pPr>
      <w:r>
        <w:rPr>
          <w:rFonts w:hint="eastAsia" w:ascii="Times New Roman" w:hAnsi="Times New Roman" w:eastAsia="仿宋" w:cs="仿宋"/>
          <w:highlight w:val="none"/>
        </w:rPr>
        <w:t>参选文件递交的截止时间：</w:t>
      </w:r>
      <w:r>
        <w:rPr>
          <w:rFonts w:hint="eastAsia" w:ascii="Times New Roman" w:hAnsi="Times New Roman" w:eastAsia="仿宋" w:cs="仿宋"/>
          <w:highlight w:val="none"/>
          <w:lang w:val="en-US" w:eastAsia="zh-CN"/>
        </w:rPr>
        <w:t>2025</w:t>
      </w:r>
      <w:r>
        <w:rPr>
          <w:rFonts w:hint="eastAsia" w:ascii="Times New Roman" w:hAnsi="Times New Roman" w:eastAsia="仿宋" w:cs="仿宋"/>
          <w:highlight w:val="none"/>
        </w:rPr>
        <w:t>年</w:t>
      </w:r>
      <w:r>
        <w:rPr>
          <w:rFonts w:hint="eastAsia" w:ascii="Times New Roman" w:hAnsi="Times New Roman" w:eastAsia="仿宋" w:cs="仿宋"/>
          <w:highlight w:val="none"/>
          <w:lang w:val="en-US" w:eastAsia="zh-CN"/>
        </w:rPr>
        <w:t>6</w:t>
      </w:r>
      <w:r>
        <w:rPr>
          <w:rFonts w:hint="eastAsia" w:ascii="Times New Roman" w:hAnsi="Times New Roman" w:eastAsia="仿宋" w:cs="仿宋"/>
          <w:highlight w:val="none"/>
        </w:rPr>
        <w:t>月</w:t>
      </w:r>
      <w:r>
        <w:rPr>
          <w:rFonts w:hint="eastAsia" w:ascii="Times New Roman" w:hAnsi="Times New Roman" w:eastAsia="仿宋" w:cs="仿宋"/>
          <w:highlight w:val="none"/>
          <w:lang w:val="en-US" w:eastAsia="zh-CN"/>
        </w:rPr>
        <w:t>25</w:t>
      </w:r>
      <w:r>
        <w:rPr>
          <w:rFonts w:hint="eastAsia" w:ascii="Times New Roman" w:hAnsi="Times New Roman" w:eastAsia="仿宋" w:cs="仿宋"/>
          <w:highlight w:val="none"/>
        </w:rPr>
        <w:t>日</w:t>
      </w:r>
      <w:r>
        <w:rPr>
          <w:rFonts w:hint="eastAsia" w:ascii="Times New Roman" w:hAnsi="Times New Roman" w:eastAsia="仿宋" w:cs="仿宋"/>
          <w:highlight w:val="none"/>
          <w:lang w:val="en-US" w:eastAsia="zh-CN"/>
        </w:rPr>
        <w:t>09</w:t>
      </w:r>
      <w:r>
        <w:rPr>
          <w:rFonts w:hint="eastAsia" w:ascii="Times New Roman" w:hAnsi="Times New Roman" w:eastAsia="仿宋" w:cs="仿宋"/>
          <w:highlight w:val="none"/>
        </w:rPr>
        <w:t>:00前。</w:t>
      </w:r>
    </w:p>
    <w:p w14:paraId="5CAF21B4">
      <w:pPr>
        <w:numPr>
          <w:ilvl w:val="0"/>
          <w:numId w:val="2"/>
        </w:numPr>
        <w:spacing w:line="560" w:lineRule="exact"/>
        <w:ind w:firstLine="480" w:firstLineChars="200"/>
        <w:rPr>
          <w:rFonts w:ascii="Times New Roman" w:hAnsi="Times New Roman" w:eastAsia="仿宋"/>
          <w:highlight w:val="none"/>
        </w:rPr>
      </w:pPr>
      <w:r>
        <w:rPr>
          <w:rFonts w:hint="eastAsia" w:ascii="Times New Roman" w:hAnsi="Times New Roman" w:eastAsia="仿宋"/>
          <w:highlight w:val="none"/>
        </w:rPr>
        <w:t>其他说明</w:t>
      </w:r>
    </w:p>
    <w:p w14:paraId="6D4CC1BB">
      <w:pPr>
        <w:spacing w:line="560" w:lineRule="exact"/>
        <w:ind w:firstLine="480" w:firstLineChars="200"/>
      </w:pPr>
      <w:r>
        <w:rPr>
          <w:rFonts w:hint="eastAsia" w:ascii="Times New Roman" w:hAnsi="Times New Roman" w:eastAsia="仿宋" w:cs="仿宋"/>
        </w:rPr>
        <w:t>本项目为比选人配合公司销售业务进行产品选型、供应商选择及销售方案制定的前置选型活动，若比选人未中</w:t>
      </w:r>
      <w:r>
        <w:rPr>
          <w:rFonts w:hint="eastAsia" w:ascii="Times New Roman" w:hAnsi="Times New Roman" w:eastAsia="仿宋" w:cs="仿宋"/>
          <w:lang w:val="en-US" w:eastAsia="zh-CN"/>
        </w:rPr>
        <w:t>选</w:t>
      </w:r>
      <w:r>
        <w:rPr>
          <w:rFonts w:hint="eastAsia" w:ascii="Times New Roman" w:hAnsi="Times New Roman" w:eastAsia="仿宋" w:cs="仿宋"/>
        </w:rPr>
        <w:t>前置选型目标项目，将不与中选人签订本次比选项目合同，所产生的参选成本由参选人自行承担。</w:t>
      </w:r>
    </w:p>
    <w:p w14:paraId="5EE0F116">
      <w:pPr>
        <w:spacing w:line="560" w:lineRule="exact"/>
        <w:ind w:firstLine="480" w:firstLineChars="200"/>
        <w:rPr>
          <w:rFonts w:ascii="Times New Roman" w:hAnsi="Times New Roman" w:eastAsia="仿宋" w:cs="仿宋"/>
          <w:highlight w:val="none"/>
        </w:rPr>
      </w:pPr>
      <w:r>
        <w:rPr>
          <w:rFonts w:hint="eastAsia" w:ascii="Times New Roman" w:hAnsi="Times New Roman" w:eastAsia="仿宋" w:cs="仿宋"/>
          <w:lang w:val="en-US" w:eastAsia="zh-CN"/>
        </w:rPr>
        <w:t>四</w:t>
      </w:r>
      <w:r>
        <w:rPr>
          <w:rFonts w:hint="eastAsia" w:ascii="Times New Roman" w:hAnsi="Times New Roman" w:eastAsia="仿宋" w:cs="仿宋"/>
        </w:rPr>
        <w:t>、本</w:t>
      </w:r>
      <w:r>
        <w:rPr>
          <w:rFonts w:hint="eastAsia" w:ascii="Times New Roman" w:hAnsi="Times New Roman" w:eastAsia="仿宋" w:cs="仿宋"/>
          <w:highlight w:val="none"/>
        </w:rPr>
        <w:t>自主比选采用综合评分法的评选方式。</w:t>
      </w:r>
    </w:p>
    <w:p w14:paraId="67103412">
      <w:pPr>
        <w:spacing w:line="560" w:lineRule="exact"/>
        <w:ind w:firstLine="480" w:firstLineChars="200"/>
        <w:rPr>
          <w:rFonts w:hint="eastAsia" w:ascii="Times New Roman" w:hAnsi="Times New Roman" w:eastAsia="仿宋" w:cs="仿宋"/>
          <w:highlight w:val="none"/>
        </w:rPr>
      </w:pPr>
      <w:r>
        <w:rPr>
          <w:rFonts w:hint="eastAsia" w:ascii="Times New Roman" w:hAnsi="Times New Roman" w:eastAsia="仿宋" w:cs="仿宋"/>
          <w:highlight w:val="none"/>
        </w:rPr>
        <w:t>联系人：詹先生</w:t>
      </w:r>
      <w:r>
        <w:rPr>
          <w:rFonts w:ascii="Times New Roman" w:hAnsi="Times New Roman" w:eastAsia="仿宋" w:cs="仿宋"/>
          <w:highlight w:val="none"/>
        </w:rPr>
        <w:t xml:space="preserve"> </w:t>
      </w:r>
      <w:r>
        <w:rPr>
          <w:rFonts w:hint="eastAsia" w:ascii="Times New Roman" w:hAnsi="Times New Roman" w:eastAsia="仿宋" w:cs="仿宋"/>
          <w:highlight w:val="none"/>
        </w:rPr>
        <w:t xml:space="preserve"> </w:t>
      </w:r>
    </w:p>
    <w:p w14:paraId="36DFA028">
      <w:pPr>
        <w:spacing w:line="560" w:lineRule="exact"/>
        <w:ind w:firstLine="480" w:firstLineChars="200"/>
        <w:rPr>
          <w:rFonts w:ascii="Times New Roman" w:hAnsi="Times New Roman" w:eastAsia="仿宋" w:cs="仿宋"/>
          <w:highlight w:val="none"/>
        </w:rPr>
      </w:pPr>
      <w:r>
        <w:rPr>
          <w:rFonts w:hint="eastAsia" w:ascii="Times New Roman" w:hAnsi="Times New Roman" w:eastAsia="仿宋" w:cs="仿宋"/>
          <w:highlight w:val="none"/>
        </w:rPr>
        <w:t>电话：</w:t>
      </w:r>
      <w:r>
        <w:rPr>
          <w:rFonts w:hint="eastAsia" w:ascii="Times New Roman" w:hAnsi="Times New Roman" w:eastAsia="仿宋" w:cs="仿宋"/>
          <w:highlight w:val="none"/>
          <w:lang w:val="zh-CN"/>
        </w:rPr>
        <w:t>0591-</w:t>
      </w:r>
      <w:r>
        <w:rPr>
          <w:rFonts w:hint="eastAsia" w:ascii="Times New Roman" w:hAnsi="Times New Roman" w:eastAsia="仿宋" w:cs="仿宋"/>
          <w:highlight w:val="none"/>
        </w:rPr>
        <w:t>23410711</w:t>
      </w:r>
    </w:p>
    <w:p w14:paraId="7589FD33">
      <w:pPr>
        <w:spacing w:line="560" w:lineRule="exact"/>
        <w:ind w:firstLine="480" w:firstLineChars="200"/>
        <w:rPr>
          <w:rFonts w:hint="eastAsia" w:ascii="Times New Roman" w:hAnsi="Times New Roman" w:eastAsia="仿宋" w:cs="仿宋"/>
          <w:highlight w:val="none"/>
        </w:rPr>
      </w:pPr>
      <w:r>
        <w:rPr>
          <w:rFonts w:hint="eastAsia" w:ascii="Times New Roman" w:hAnsi="Times New Roman" w:eastAsia="仿宋" w:cs="仿宋"/>
          <w:highlight w:val="none"/>
        </w:rPr>
        <w:t>联系地址：福建省福州市晋安区塔头路396号福建能源石化大厦15层；福建省能源石化信息科技有限责任公司</w:t>
      </w:r>
    </w:p>
    <w:p w14:paraId="65B77971">
      <w:pPr>
        <w:spacing w:line="560" w:lineRule="exact"/>
        <w:ind w:firstLine="480" w:firstLineChars="200"/>
        <w:rPr>
          <w:rFonts w:ascii="Times New Roman" w:hAnsi="Times New Roman" w:eastAsia="仿宋" w:cs="仿宋"/>
        </w:rPr>
      </w:pPr>
      <w:r>
        <w:rPr>
          <w:rFonts w:hint="eastAsia" w:ascii="Times New Roman" w:hAnsi="Times New Roman" w:eastAsia="仿宋" w:cs="仿宋"/>
        </w:rPr>
        <w:t>邮编：350001</w:t>
      </w:r>
    </w:p>
    <w:p w14:paraId="39597C27">
      <w:pPr>
        <w:spacing w:line="560" w:lineRule="exact"/>
        <w:ind w:firstLine="480" w:firstLineChars="200"/>
        <w:rPr>
          <w:rFonts w:ascii="Times New Roman" w:hAnsi="Times New Roman" w:eastAsia="仿宋" w:cs="仿宋"/>
        </w:rPr>
      </w:pPr>
      <w:r>
        <w:rPr>
          <w:rFonts w:hint="eastAsia" w:ascii="Times New Roman" w:hAnsi="Times New Roman" w:eastAsia="仿宋" w:cs="仿宋"/>
        </w:rPr>
        <w:t>电子邮箱：nhxk@fjnhjt.com</w:t>
      </w:r>
    </w:p>
    <w:p w14:paraId="771923E1">
      <w:pPr>
        <w:pStyle w:val="16"/>
        <w:spacing w:before="0" w:after="0" w:line="560" w:lineRule="exact"/>
        <w:rPr>
          <w:rFonts w:ascii="Times New Roman" w:hAnsi="Times New Roman" w:eastAsia="仿宋"/>
          <w:sz w:val="44"/>
          <w:szCs w:val="44"/>
        </w:rPr>
      </w:pPr>
      <w:bookmarkStart w:id="20" w:name="_Toc486321057"/>
      <w:r>
        <w:rPr>
          <w:rFonts w:ascii="Times New Roman" w:hAnsi="Times New Roman" w:eastAsia="仿宋"/>
          <w:sz w:val="44"/>
          <w:szCs w:val="44"/>
        </w:rPr>
        <w:br w:type="page"/>
      </w:r>
      <w:bookmarkStart w:id="21" w:name="_Toc5700"/>
      <w:bookmarkStart w:id="22" w:name="_Toc25837"/>
      <w:bookmarkStart w:id="23" w:name="_Toc8017"/>
      <w:bookmarkStart w:id="24" w:name="_Toc8892"/>
      <w:bookmarkStart w:id="25" w:name="_Toc2872"/>
      <w:bookmarkStart w:id="26" w:name="_Toc91421087"/>
      <w:bookmarkStart w:id="27" w:name="_Toc29377"/>
      <w:bookmarkStart w:id="28" w:name="_Toc26916"/>
      <w:bookmarkStart w:id="29" w:name="_Toc23163"/>
      <w:bookmarkStart w:id="30" w:name="_Toc30337"/>
      <w:bookmarkStart w:id="31" w:name="_Toc13215"/>
      <w:bookmarkStart w:id="32" w:name="_Toc20834"/>
      <w:r>
        <w:rPr>
          <w:rFonts w:hint="eastAsia" w:ascii="Times New Roman" w:hAnsi="Times New Roman" w:eastAsia="仿宋"/>
          <w:sz w:val="44"/>
          <w:szCs w:val="44"/>
        </w:rPr>
        <w:t>第二章  比选须知</w:t>
      </w:r>
      <w:bookmarkEnd w:id="20"/>
      <w:bookmarkEnd w:id="21"/>
      <w:bookmarkEnd w:id="22"/>
      <w:bookmarkEnd w:id="23"/>
      <w:bookmarkEnd w:id="24"/>
      <w:bookmarkEnd w:id="25"/>
      <w:bookmarkEnd w:id="26"/>
      <w:bookmarkEnd w:id="27"/>
      <w:bookmarkEnd w:id="28"/>
      <w:bookmarkEnd w:id="29"/>
      <w:bookmarkEnd w:id="30"/>
      <w:bookmarkEnd w:id="31"/>
      <w:bookmarkEnd w:id="32"/>
    </w:p>
    <w:p w14:paraId="2620EC7D">
      <w:pPr>
        <w:autoSpaceDE w:val="0"/>
        <w:autoSpaceDN w:val="0"/>
        <w:spacing w:line="560" w:lineRule="exact"/>
        <w:ind w:left="720"/>
        <w:rPr>
          <w:rFonts w:ascii="Times New Roman" w:hAnsi="Times New Roman"/>
          <w:b/>
          <w:sz w:val="28"/>
          <w:szCs w:val="28"/>
        </w:rPr>
      </w:pPr>
    </w:p>
    <w:p w14:paraId="7FD2B774">
      <w:pPr>
        <w:pStyle w:val="5"/>
        <w:widowControl/>
        <w:spacing w:before="0" w:after="0" w:line="560" w:lineRule="exact"/>
        <w:ind w:left="576"/>
        <w:jc w:val="left"/>
        <w:rPr>
          <w:rFonts w:ascii="Times New Roman" w:hAnsi="Times New Roman" w:eastAsia="仿宋"/>
        </w:rPr>
      </w:pPr>
      <w:bookmarkStart w:id="33" w:name="_Toc15446"/>
      <w:bookmarkStart w:id="34" w:name="_Toc27118"/>
      <w:bookmarkStart w:id="35" w:name="_Toc7368"/>
      <w:bookmarkStart w:id="36" w:name="_Toc1488"/>
      <w:bookmarkStart w:id="37" w:name="_Toc91421088"/>
      <w:bookmarkStart w:id="38" w:name="_Toc6312"/>
      <w:bookmarkStart w:id="39" w:name="_Toc14923"/>
      <w:bookmarkStart w:id="40" w:name="_Toc27566"/>
      <w:bookmarkStart w:id="41" w:name="_Toc9194"/>
      <w:bookmarkStart w:id="42" w:name="_Toc22050"/>
      <w:bookmarkStart w:id="43" w:name="_Toc27101"/>
      <w:bookmarkStart w:id="44" w:name="_Toc5774"/>
      <w:r>
        <w:rPr>
          <w:rFonts w:hint="eastAsia" w:ascii="Times New Roman" w:hAnsi="Times New Roman" w:eastAsia="仿宋"/>
        </w:rPr>
        <w:t>一、比选范围</w:t>
      </w:r>
      <w:bookmarkEnd w:id="33"/>
      <w:bookmarkEnd w:id="34"/>
      <w:bookmarkEnd w:id="35"/>
      <w:bookmarkEnd w:id="36"/>
      <w:bookmarkEnd w:id="37"/>
      <w:bookmarkEnd w:id="38"/>
      <w:bookmarkEnd w:id="39"/>
      <w:bookmarkEnd w:id="40"/>
      <w:bookmarkEnd w:id="41"/>
      <w:bookmarkEnd w:id="42"/>
      <w:bookmarkEnd w:id="43"/>
      <w:bookmarkEnd w:id="44"/>
    </w:p>
    <w:p w14:paraId="4DC269FD">
      <w:pPr>
        <w:spacing w:line="560" w:lineRule="exact"/>
        <w:ind w:firstLine="480" w:firstLineChars="200"/>
        <w:rPr>
          <w:rFonts w:ascii="Times New Roman" w:hAnsi="Times New Roman" w:eastAsia="仿宋"/>
        </w:rPr>
      </w:pPr>
      <w:r>
        <w:rPr>
          <w:rFonts w:hint="eastAsia" w:ascii="Times New Roman" w:hAnsi="Times New Roman" w:eastAsia="仿宋"/>
        </w:rPr>
        <w:t>本比选文件适用于本次</w:t>
      </w:r>
      <w:r>
        <w:rPr>
          <w:rFonts w:hint="eastAsia" w:ascii="Times New Roman" w:hAnsi="Times New Roman" w:eastAsia="仿宋" w:cs="宋体"/>
          <w:lang w:eastAsia="zh-CN"/>
        </w:rPr>
        <w:t>福维新材料会议室系统建设项目</w:t>
      </w:r>
      <w:r>
        <w:rPr>
          <w:rFonts w:hint="eastAsia" w:ascii="Times New Roman" w:hAnsi="Times New Roman" w:eastAsia="仿宋" w:cs="宋体"/>
        </w:rPr>
        <w:t>的供货及相关服务</w:t>
      </w:r>
      <w:r>
        <w:rPr>
          <w:rFonts w:ascii="Times New Roman" w:hAnsi="Times New Roman" w:eastAsia="仿宋"/>
        </w:rPr>
        <w:t>。</w:t>
      </w:r>
    </w:p>
    <w:p w14:paraId="3655699B">
      <w:pPr>
        <w:pStyle w:val="5"/>
        <w:widowControl/>
        <w:spacing w:before="0" w:after="0" w:line="560" w:lineRule="exact"/>
        <w:ind w:left="576"/>
        <w:jc w:val="left"/>
        <w:rPr>
          <w:rFonts w:ascii="Times New Roman" w:hAnsi="Times New Roman" w:eastAsia="仿宋"/>
        </w:rPr>
      </w:pPr>
      <w:bookmarkStart w:id="45" w:name="_Toc16753"/>
      <w:bookmarkStart w:id="46" w:name="_Toc25297"/>
      <w:bookmarkStart w:id="47" w:name="_Toc24905"/>
      <w:bookmarkStart w:id="48" w:name="_Toc2718"/>
      <w:bookmarkStart w:id="49" w:name="_Toc12367"/>
      <w:bookmarkStart w:id="50" w:name="_Toc91421089"/>
      <w:bookmarkStart w:id="51" w:name="_Toc2663"/>
      <w:bookmarkStart w:id="52" w:name="_Toc9152"/>
      <w:bookmarkStart w:id="53" w:name="_Toc4807"/>
      <w:bookmarkStart w:id="54" w:name="_Toc15825"/>
      <w:bookmarkStart w:id="55" w:name="_Toc32575"/>
      <w:bookmarkStart w:id="56" w:name="_Toc8768"/>
      <w:r>
        <w:rPr>
          <w:rFonts w:hint="eastAsia" w:ascii="Times New Roman" w:hAnsi="Times New Roman" w:eastAsia="仿宋"/>
        </w:rPr>
        <w:t>二、定义和解释</w:t>
      </w:r>
      <w:bookmarkEnd w:id="45"/>
      <w:bookmarkEnd w:id="46"/>
      <w:bookmarkEnd w:id="47"/>
      <w:bookmarkEnd w:id="48"/>
      <w:bookmarkEnd w:id="49"/>
      <w:bookmarkEnd w:id="50"/>
      <w:bookmarkEnd w:id="51"/>
      <w:bookmarkEnd w:id="52"/>
      <w:bookmarkEnd w:id="53"/>
      <w:bookmarkEnd w:id="54"/>
      <w:bookmarkEnd w:id="55"/>
      <w:bookmarkEnd w:id="56"/>
    </w:p>
    <w:p w14:paraId="164F0338">
      <w:pPr>
        <w:pStyle w:val="21"/>
        <w:numPr>
          <w:ilvl w:val="0"/>
          <w:numId w:val="3"/>
        </w:numPr>
        <w:spacing w:line="560" w:lineRule="exact"/>
        <w:ind w:firstLine="480"/>
        <w:rPr>
          <w:rFonts w:ascii="Times New Roman" w:hAnsi="Times New Roman" w:eastAsia="仿宋"/>
          <w:sz w:val="24"/>
          <w:szCs w:val="24"/>
        </w:rPr>
      </w:pPr>
      <w:r>
        <w:rPr>
          <w:rFonts w:hint="eastAsia" w:ascii="Times New Roman" w:hAnsi="Times New Roman" w:eastAsia="仿宋"/>
          <w:sz w:val="24"/>
          <w:szCs w:val="24"/>
        </w:rPr>
        <w:t>“比选人”系福建省能源石化信息科技有限责任公司，即业主方。</w:t>
      </w:r>
    </w:p>
    <w:p w14:paraId="6223B609">
      <w:pPr>
        <w:pStyle w:val="21"/>
        <w:numPr>
          <w:ilvl w:val="0"/>
          <w:numId w:val="3"/>
        </w:numPr>
        <w:spacing w:line="560" w:lineRule="exact"/>
        <w:ind w:firstLine="480"/>
        <w:rPr>
          <w:rFonts w:ascii="Times New Roman" w:hAnsi="Times New Roman" w:eastAsia="仿宋"/>
          <w:sz w:val="24"/>
          <w:szCs w:val="24"/>
        </w:rPr>
      </w:pPr>
      <w:r>
        <w:rPr>
          <w:rFonts w:hint="eastAsia" w:ascii="Times New Roman" w:hAnsi="Times New Roman" w:eastAsia="仿宋"/>
          <w:sz w:val="24"/>
          <w:szCs w:val="24"/>
        </w:rPr>
        <w:t>“参选人”系指向比选人报名，领取比选文件，且已经提交或准备提交本次参选文件的企业法人。</w:t>
      </w:r>
    </w:p>
    <w:p w14:paraId="6B60EA3B">
      <w:pPr>
        <w:pStyle w:val="21"/>
        <w:numPr>
          <w:ilvl w:val="0"/>
          <w:numId w:val="3"/>
        </w:numPr>
        <w:spacing w:line="560" w:lineRule="exact"/>
        <w:ind w:firstLine="480"/>
        <w:rPr>
          <w:rFonts w:ascii="Times New Roman" w:hAnsi="Times New Roman" w:eastAsia="仿宋"/>
          <w:sz w:val="24"/>
          <w:szCs w:val="24"/>
        </w:rPr>
      </w:pPr>
      <w:r>
        <w:rPr>
          <w:rFonts w:hint="eastAsia" w:ascii="Times New Roman" w:hAnsi="Times New Roman" w:eastAsia="仿宋"/>
          <w:sz w:val="24"/>
          <w:szCs w:val="24"/>
        </w:rPr>
        <w:t>“参选代表”系指全权代表参选人参加本次比选活动并签署参选文件的人，如果参选代表不是参选人的法定代表人，须持有《法定代表人授权委托书》详见附件。</w:t>
      </w:r>
    </w:p>
    <w:p w14:paraId="491797EF">
      <w:pPr>
        <w:pStyle w:val="21"/>
        <w:numPr>
          <w:ilvl w:val="0"/>
          <w:numId w:val="3"/>
        </w:numPr>
        <w:spacing w:line="560" w:lineRule="exact"/>
        <w:ind w:firstLine="480"/>
        <w:rPr>
          <w:rFonts w:ascii="Times New Roman" w:hAnsi="Times New Roman" w:eastAsia="仿宋" w:cs="宋体"/>
          <w:kern w:val="0"/>
          <w:sz w:val="24"/>
          <w:szCs w:val="24"/>
        </w:rPr>
      </w:pPr>
      <w:r>
        <w:rPr>
          <w:rFonts w:hint="eastAsia" w:ascii="Times New Roman" w:hAnsi="Times New Roman" w:eastAsia="仿宋" w:cs="宋体"/>
          <w:sz w:val="24"/>
          <w:szCs w:val="24"/>
        </w:rPr>
        <w:t>“中选人”系指比选人按本自主</w:t>
      </w:r>
      <w:r>
        <w:rPr>
          <w:rFonts w:hint="eastAsia" w:ascii="Times New Roman" w:hAnsi="Times New Roman" w:eastAsia="仿宋" w:cs="宋体"/>
          <w:kern w:val="0"/>
          <w:sz w:val="24"/>
          <w:szCs w:val="24"/>
        </w:rPr>
        <w:t>比选文件的规定，经评选确定的本自主比选项目服务提供方。</w:t>
      </w:r>
    </w:p>
    <w:p w14:paraId="14C779F9">
      <w:pPr>
        <w:pStyle w:val="21"/>
        <w:numPr>
          <w:ilvl w:val="0"/>
          <w:numId w:val="3"/>
        </w:numPr>
        <w:spacing w:line="560" w:lineRule="exact"/>
        <w:ind w:firstLine="480"/>
        <w:rPr>
          <w:rFonts w:ascii="Times New Roman" w:hAnsi="Times New Roman" w:eastAsia="仿宋" w:cs="宋体"/>
          <w:kern w:val="0"/>
          <w:sz w:val="24"/>
          <w:szCs w:val="24"/>
        </w:rPr>
      </w:pPr>
      <w:r>
        <w:rPr>
          <w:rFonts w:ascii="Times New Roman" w:hAnsi="Times New Roman" w:eastAsia="仿宋" w:cs="宋体"/>
          <w:kern w:val="0"/>
          <w:sz w:val="24"/>
          <w:szCs w:val="24"/>
        </w:rPr>
        <w:t>“产品”系指向自主比选人提</w:t>
      </w:r>
      <w:r>
        <w:rPr>
          <w:rFonts w:hint="eastAsia" w:ascii="Times New Roman" w:hAnsi="Times New Roman" w:eastAsia="仿宋" w:cs="宋体"/>
          <w:kern w:val="0"/>
          <w:sz w:val="24"/>
          <w:szCs w:val="24"/>
        </w:rPr>
        <w:t>供的</w:t>
      </w:r>
      <w:r>
        <w:rPr>
          <w:rFonts w:ascii="Times New Roman" w:hAnsi="Times New Roman" w:eastAsia="仿宋" w:cs="宋体"/>
          <w:kern w:val="0"/>
          <w:sz w:val="24"/>
          <w:szCs w:val="24"/>
        </w:rPr>
        <w:t>服务产品。</w:t>
      </w:r>
    </w:p>
    <w:p w14:paraId="4484EDD2">
      <w:pPr>
        <w:pStyle w:val="21"/>
        <w:numPr>
          <w:ilvl w:val="0"/>
          <w:numId w:val="3"/>
        </w:numPr>
        <w:spacing w:line="560" w:lineRule="exact"/>
        <w:ind w:firstLine="480"/>
        <w:rPr>
          <w:rFonts w:ascii="Times New Roman" w:hAnsi="Times New Roman" w:eastAsia="仿宋" w:cs="宋体"/>
          <w:kern w:val="0"/>
          <w:sz w:val="24"/>
          <w:szCs w:val="24"/>
        </w:rPr>
      </w:pPr>
      <w:r>
        <w:rPr>
          <w:rFonts w:ascii="Times New Roman" w:hAnsi="Times New Roman" w:eastAsia="仿宋" w:cs="宋体"/>
          <w:kern w:val="0"/>
          <w:sz w:val="24"/>
          <w:szCs w:val="24"/>
        </w:rPr>
        <w:t>“服务”系指自主比选文件规定参选人须承担的服务工作内容和其它的义务。</w:t>
      </w:r>
    </w:p>
    <w:p w14:paraId="2EC12DD5">
      <w:pPr>
        <w:pStyle w:val="21"/>
        <w:numPr>
          <w:ilvl w:val="0"/>
          <w:numId w:val="3"/>
        </w:numPr>
        <w:spacing w:line="560" w:lineRule="exact"/>
        <w:ind w:firstLine="480"/>
        <w:rPr>
          <w:rFonts w:ascii="Times New Roman" w:hAnsi="Times New Roman" w:eastAsia="仿宋" w:cs="宋体"/>
          <w:kern w:val="0"/>
          <w:sz w:val="24"/>
          <w:szCs w:val="24"/>
        </w:rPr>
      </w:pPr>
      <w:r>
        <w:rPr>
          <w:rFonts w:hint="eastAsia" w:ascii="Times New Roman" w:hAnsi="Times New Roman" w:eastAsia="仿宋" w:cs="宋体"/>
          <w:kern w:val="0"/>
          <w:sz w:val="24"/>
          <w:szCs w:val="24"/>
        </w:rPr>
        <w:t>参选费用：无论比选过程中的做法和结果如何，参选人自行承担所有与参加比选有关的全部费用。</w:t>
      </w:r>
    </w:p>
    <w:p w14:paraId="6C0D201A">
      <w:pPr>
        <w:pStyle w:val="5"/>
        <w:widowControl/>
        <w:spacing w:before="0" w:after="0" w:line="560" w:lineRule="exact"/>
        <w:ind w:left="576"/>
        <w:jc w:val="left"/>
        <w:rPr>
          <w:rFonts w:ascii="Times New Roman" w:hAnsi="Times New Roman" w:eastAsia="仿宋"/>
        </w:rPr>
      </w:pPr>
      <w:bookmarkStart w:id="57" w:name="_Toc20978"/>
      <w:bookmarkStart w:id="58" w:name="_Toc8063"/>
      <w:bookmarkStart w:id="59" w:name="_Toc9717"/>
      <w:bookmarkStart w:id="60" w:name="_Toc28426"/>
      <w:bookmarkStart w:id="61" w:name="_Toc19664"/>
      <w:bookmarkStart w:id="62" w:name="_Toc25373"/>
      <w:bookmarkStart w:id="63" w:name="_Toc91421090"/>
      <w:bookmarkStart w:id="64" w:name="_Toc32506"/>
      <w:bookmarkStart w:id="65" w:name="_Toc22744"/>
      <w:bookmarkStart w:id="66" w:name="_Toc22769"/>
      <w:bookmarkStart w:id="67" w:name="_Toc21758"/>
      <w:bookmarkStart w:id="68" w:name="_Toc23721"/>
      <w:r>
        <w:rPr>
          <w:rFonts w:hint="eastAsia" w:ascii="Times New Roman" w:hAnsi="Times New Roman" w:eastAsia="仿宋"/>
        </w:rPr>
        <w:t>三、比选文件组成</w:t>
      </w:r>
      <w:bookmarkEnd w:id="57"/>
      <w:bookmarkEnd w:id="58"/>
      <w:bookmarkEnd w:id="59"/>
      <w:bookmarkEnd w:id="60"/>
      <w:bookmarkEnd w:id="61"/>
      <w:bookmarkEnd w:id="62"/>
      <w:bookmarkEnd w:id="63"/>
      <w:bookmarkEnd w:id="64"/>
      <w:bookmarkEnd w:id="65"/>
      <w:bookmarkEnd w:id="66"/>
      <w:bookmarkEnd w:id="67"/>
      <w:bookmarkEnd w:id="68"/>
    </w:p>
    <w:p w14:paraId="0F5A2A7C">
      <w:pPr>
        <w:numPr>
          <w:ilvl w:val="0"/>
          <w:numId w:val="4"/>
        </w:numPr>
        <w:autoSpaceDE w:val="0"/>
        <w:autoSpaceDN w:val="0"/>
        <w:spacing w:line="560" w:lineRule="exact"/>
        <w:ind w:firstLine="480" w:firstLineChars="200"/>
        <w:rPr>
          <w:rFonts w:ascii="Times New Roman" w:hAnsi="Times New Roman" w:eastAsia="仿宋"/>
        </w:rPr>
      </w:pPr>
      <w:r>
        <w:rPr>
          <w:rFonts w:hint="eastAsia" w:ascii="Times New Roman" w:hAnsi="Times New Roman" w:eastAsia="仿宋"/>
        </w:rPr>
        <w:t>比选文件包括下列内容：比选公告、比选须知、项目概况、参选报价单、承诺函等。</w:t>
      </w:r>
    </w:p>
    <w:p w14:paraId="29CA228C">
      <w:pPr>
        <w:numPr>
          <w:ilvl w:val="0"/>
          <w:numId w:val="4"/>
        </w:numPr>
        <w:autoSpaceDE w:val="0"/>
        <w:autoSpaceDN w:val="0"/>
        <w:spacing w:line="560" w:lineRule="exact"/>
        <w:ind w:firstLine="480" w:firstLineChars="200"/>
        <w:rPr>
          <w:rFonts w:ascii="Times New Roman" w:hAnsi="Times New Roman" w:eastAsia="仿宋"/>
        </w:rPr>
      </w:pPr>
      <w:r>
        <w:rPr>
          <w:rFonts w:hint="eastAsia" w:ascii="Times New Roman" w:hAnsi="Times New Roman" w:eastAsia="仿宋"/>
        </w:rPr>
        <w:t>比选文件除本条第1款中内容外，比选人在比选期间发出的书面文件和其他修改或补充函件，均是比选文件不可分割的组成部分。</w:t>
      </w:r>
    </w:p>
    <w:p w14:paraId="3F27D7A8">
      <w:pPr>
        <w:numPr>
          <w:ilvl w:val="0"/>
          <w:numId w:val="4"/>
        </w:numPr>
        <w:autoSpaceDE w:val="0"/>
        <w:autoSpaceDN w:val="0"/>
        <w:spacing w:line="560" w:lineRule="exact"/>
        <w:ind w:firstLine="480" w:firstLineChars="200"/>
        <w:rPr>
          <w:rFonts w:ascii="Times New Roman" w:hAnsi="Times New Roman" w:eastAsia="仿宋"/>
        </w:rPr>
      </w:pPr>
      <w:r>
        <w:rPr>
          <w:rFonts w:hint="eastAsia" w:ascii="Times New Roman" w:hAnsi="Times New Roman" w:eastAsia="仿宋"/>
        </w:rPr>
        <w:t>参选人应认真阅读、并充分理解比选文件的全部内容（包括所有的补充、修改内容、重要事项、格式、条款等）。参选人没有按照比选文件要求提交全部资料，或者没有对比选文件在各方面都做出实质性响应是参选人的风险，有可能导致其参选被拒绝，或被认定为无效参选或被确定为</w:t>
      </w:r>
      <w:r>
        <w:rPr>
          <w:rFonts w:ascii="Times New Roman" w:hAnsi="Times New Roman" w:eastAsia="仿宋"/>
        </w:rPr>
        <w:t>参选</w:t>
      </w:r>
      <w:r>
        <w:rPr>
          <w:rFonts w:hint="eastAsia" w:ascii="Times New Roman" w:hAnsi="Times New Roman" w:eastAsia="仿宋"/>
        </w:rPr>
        <w:t>无效。</w:t>
      </w:r>
    </w:p>
    <w:p w14:paraId="32267317">
      <w:pPr>
        <w:pStyle w:val="5"/>
        <w:widowControl/>
        <w:spacing w:before="0" w:after="0" w:line="560" w:lineRule="exact"/>
        <w:ind w:left="576"/>
        <w:jc w:val="left"/>
        <w:rPr>
          <w:rFonts w:ascii="Times New Roman" w:hAnsi="Times New Roman" w:eastAsia="仿宋"/>
        </w:rPr>
      </w:pPr>
      <w:bookmarkStart w:id="69" w:name="_Toc2131"/>
      <w:bookmarkStart w:id="70" w:name="_Toc4358"/>
      <w:bookmarkStart w:id="71" w:name="_Toc21119"/>
      <w:bookmarkStart w:id="72" w:name="_Toc2255"/>
      <w:bookmarkStart w:id="73" w:name="_Toc16314"/>
      <w:bookmarkStart w:id="74" w:name="_Toc14585"/>
      <w:bookmarkStart w:id="75" w:name="_Toc18303"/>
      <w:bookmarkStart w:id="76" w:name="_Toc91421091"/>
      <w:bookmarkStart w:id="77" w:name="_Toc29592"/>
      <w:bookmarkStart w:id="78" w:name="_Toc23216"/>
      <w:bookmarkStart w:id="79" w:name="_Toc15299"/>
      <w:bookmarkStart w:id="80" w:name="_Toc5103"/>
      <w:r>
        <w:rPr>
          <w:rFonts w:hint="eastAsia" w:ascii="Times New Roman" w:hAnsi="Times New Roman" w:eastAsia="仿宋"/>
        </w:rPr>
        <w:t>四、比选文件的澄清</w:t>
      </w:r>
      <w:bookmarkEnd w:id="69"/>
      <w:bookmarkEnd w:id="70"/>
      <w:bookmarkEnd w:id="71"/>
      <w:bookmarkEnd w:id="72"/>
      <w:bookmarkEnd w:id="73"/>
      <w:bookmarkEnd w:id="74"/>
      <w:bookmarkEnd w:id="75"/>
      <w:bookmarkEnd w:id="76"/>
      <w:bookmarkEnd w:id="77"/>
      <w:bookmarkEnd w:id="78"/>
      <w:bookmarkEnd w:id="79"/>
      <w:bookmarkEnd w:id="80"/>
    </w:p>
    <w:p w14:paraId="7EF11DA9">
      <w:pPr>
        <w:autoSpaceDE w:val="0"/>
        <w:autoSpaceDN w:val="0"/>
        <w:spacing w:line="560" w:lineRule="exact"/>
        <w:ind w:firstLine="480" w:firstLineChars="200"/>
        <w:rPr>
          <w:rFonts w:ascii="Times New Roman" w:hAnsi="Times New Roman" w:eastAsia="仿宋"/>
          <w:b/>
        </w:rPr>
      </w:pPr>
      <w:r>
        <w:rPr>
          <w:rFonts w:hint="eastAsia" w:ascii="Times New Roman" w:hAnsi="Times New Roman" w:eastAsia="仿宋"/>
        </w:rPr>
        <w:t>参选人获取比选文件后，应仔细检查比选文件的所有内容，如有残缺等问题应在获得比选文件之日起算的3日内（在该日的17：00以前）（例如，比选文件获得之日为</w:t>
      </w:r>
      <w:r>
        <w:rPr>
          <w:rFonts w:hint="eastAsia" w:ascii="Times New Roman" w:hAnsi="Times New Roman" w:eastAsia="仿宋"/>
          <w:lang w:val="en-US" w:eastAsia="zh-CN"/>
        </w:rPr>
        <w:t>11</w:t>
      </w:r>
      <w:r>
        <w:rPr>
          <w:rFonts w:hint="eastAsia" w:ascii="Times New Roman" w:hAnsi="Times New Roman" w:eastAsia="仿宋"/>
        </w:rPr>
        <w:t>月</w:t>
      </w:r>
      <w:r>
        <w:rPr>
          <w:rFonts w:hint="eastAsia" w:ascii="Times New Roman" w:hAnsi="Times New Roman" w:eastAsia="仿宋"/>
          <w:lang w:val="en-US" w:eastAsia="zh-CN"/>
        </w:rPr>
        <w:t>10</w:t>
      </w:r>
      <w:r>
        <w:rPr>
          <w:rFonts w:hint="eastAsia" w:ascii="Times New Roman" w:hAnsi="Times New Roman" w:eastAsia="仿宋"/>
        </w:rPr>
        <w:t>日，则最迟应在</w:t>
      </w:r>
      <w:r>
        <w:rPr>
          <w:rFonts w:hint="eastAsia" w:ascii="Times New Roman" w:hAnsi="Times New Roman" w:eastAsia="仿宋"/>
          <w:lang w:val="en-US" w:eastAsia="zh-CN"/>
        </w:rPr>
        <w:t>11</w:t>
      </w:r>
      <w:r>
        <w:rPr>
          <w:rFonts w:hint="eastAsia" w:ascii="Times New Roman" w:hAnsi="Times New Roman" w:eastAsia="仿宋"/>
        </w:rPr>
        <w:t>月</w:t>
      </w:r>
      <w:r>
        <w:rPr>
          <w:rFonts w:hint="eastAsia" w:ascii="Times New Roman" w:hAnsi="Times New Roman" w:eastAsia="仿宋"/>
          <w:lang w:val="en-US" w:eastAsia="zh-CN"/>
        </w:rPr>
        <w:t>12</w:t>
      </w:r>
      <w:r>
        <w:rPr>
          <w:rFonts w:hint="eastAsia" w:ascii="Times New Roman" w:hAnsi="Times New Roman" w:eastAsia="仿宋"/>
        </w:rPr>
        <w:t>日17:00）向比选人提出。参选人若对比选文件有任何疑问，应在参选截止时间届满之日起算提前3日（在该日的17：00以前）（例如，参选截止日为</w:t>
      </w:r>
      <w:r>
        <w:rPr>
          <w:rFonts w:hint="eastAsia" w:ascii="Times New Roman" w:hAnsi="Times New Roman" w:eastAsia="仿宋"/>
          <w:lang w:val="en-US" w:eastAsia="zh-CN"/>
        </w:rPr>
        <w:t>11</w:t>
      </w:r>
      <w:r>
        <w:rPr>
          <w:rFonts w:hint="eastAsia" w:ascii="Times New Roman" w:hAnsi="Times New Roman" w:eastAsia="仿宋"/>
        </w:rPr>
        <w:t>月</w:t>
      </w:r>
      <w:r>
        <w:rPr>
          <w:rFonts w:hint="eastAsia" w:ascii="Times New Roman" w:hAnsi="Times New Roman" w:eastAsia="仿宋"/>
          <w:lang w:val="en-US" w:eastAsia="zh-CN"/>
        </w:rPr>
        <w:t>15</w:t>
      </w:r>
      <w:r>
        <w:rPr>
          <w:rFonts w:hint="eastAsia" w:ascii="Times New Roman" w:hAnsi="Times New Roman" w:eastAsia="仿宋"/>
        </w:rPr>
        <w:t>日，则最迟应在</w:t>
      </w:r>
      <w:r>
        <w:rPr>
          <w:rFonts w:hint="eastAsia" w:ascii="Times New Roman" w:hAnsi="Times New Roman" w:eastAsia="仿宋"/>
          <w:lang w:val="en-US" w:eastAsia="zh-CN"/>
        </w:rPr>
        <w:t>11</w:t>
      </w:r>
      <w:r>
        <w:rPr>
          <w:rFonts w:hint="eastAsia" w:ascii="Times New Roman" w:hAnsi="Times New Roman" w:eastAsia="仿宋"/>
        </w:rPr>
        <w:t>月</w:t>
      </w:r>
      <w:r>
        <w:rPr>
          <w:rFonts w:hint="eastAsia" w:ascii="Times New Roman" w:hAnsi="Times New Roman" w:eastAsia="仿宋"/>
          <w:lang w:val="en-US" w:eastAsia="zh-CN"/>
        </w:rPr>
        <w:t>12</w:t>
      </w:r>
      <w:r>
        <w:rPr>
          <w:rFonts w:hint="eastAsia" w:ascii="Times New Roman" w:hAnsi="Times New Roman" w:eastAsia="仿宋"/>
        </w:rPr>
        <w:t>日17:00），按参选须知载明的地址以书面形式（包括书面、电子邮件下同）通知到比选人。比选人将视情况确定采用适当方式予以澄清或以书面形式予以答复，澄清文件作为比选文件的组成部分，具有法律约束力。</w:t>
      </w:r>
    </w:p>
    <w:p w14:paraId="4FE337B2">
      <w:pPr>
        <w:pStyle w:val="5"/>
        <w:widowControl/>
        <w:spacing w:before="0" w:after="0" w:line="560" w:lineRule="exact"/>
        <w:ind w:left="576"/>
        <w:jc w:val="left"/>
        <w:rPr>
          <w:rFonts w:ascii="Times New Roman" w:hAnsi="Times New Roman" w:eastAsia="仿宋"/>
        </w:rPr>
      </w:pPr>
      <w:bookmarkStart w:id="81" w:name="_Toc11322"/>
      <w:bookmarkStart w:id="82" w:name="_Toc20412"/>
      <w:bookmarkStart w:id="83" w:name="_Toc30653"/>
      <w:bookmarkStart w:id="84" w:name="_Toc32761"/>
      <w:bookmarkStart w:id="85" w:name="_Toc21923"/>
      <w:bookmarkStart w:id="86" w:name="_Toc18013"/>
      <w:bookmarkStart w:id="87" w:name="_Toc20490"/>
      <w:bookmarkStart w:id="88" w:name="_Toc11587"/>
      <w:bookmarkStart w:id="89" w:name="_Toc20463"/>
      <w:bookmarkStart w:id="90" w:name="_Toc13812"/>
      <w:bookmarkStart w:id="91" w:name="_Toc3777"/>
      <w:bookmarkStart w:id="92" w:name="_Toc91421092"/>
      <w:r>
        <w:rPr>
          <w:rFonts w:hint="eastAsia" w:ascii="Times New Roman" w:hAnsi="Times New Roman" w:eastAsia="仿宋"/>
        </w:rPr>
        <w:t>五、比选文件的修改、补充</w:t>
      </w:r>
      <w:bookmarkEnd w:id="81"/>
      <w:bookmarkEnd w:id="82"/>
      <w:bookmarkEnd w:id="83"/>
      <w:bookmarkEnd w:id="84"/>
      <w:bookmarkEnd w:id="85"/>
      <w:bookmarkEnd w:id="86"/>
      <w:bookmarkEnd w:id="87"/>
      <w:bookmarkEnd w:id="88"/>
      <w:bookmarkEnd w:id="89"/>
      <w:bookmarkEnd w:id="90"/>
      <w:bookmarkEnd w:id="91"/>
      <w:bookmarkEnd w:id="92"/>
    </w:p>
    <w:p w14:paraId="6265A67C">
      <w:pPr>
        <w:numPr>
          <w:ilvl w:val="0"/>
          <w:numId w:val="5"/>
        </w:numPr>
        <w:autoSpaceDE w:val="0"/>
        <w:autoSpaceDN w:val="0"/>
        <w:spacing w:line="560" w:lineRule="exact"/>
        <w:ind w:firstLine="480" w:firstLineChars="200"/>
        <w:rPr>
          <w:rFonts w:ascii="Times New Roman" w:hAnsi="Times New Roman" w:eastAsia="仿宋"/>
        </w:rPr>
      </w:pPr>
      <w:r>
        <w:rPr>
          <w:rFonts w:hint="eastAsia" w:ascii="Times New Roman" w:hAnsi="Times New Roman" w:eastAsia="仿宋"/>
        </w:rPr>
        <w:t>在参选截止日期前，比选人可主动或依据参选人要求澄清的问题而修改比选文件，并在官网上发布对应通知，各参选人默认收到比选文件修改通知。</w:t>
      </w:r>
    </w:p>
    <w:p w14:paraId="69539674">
      <w:pPr>
        <w:numPr>
          <w:ilvl w:val="0"/>
          <w:numId w:val="5"/>
        </w:numPr>
        <w:autoSpaceDE w:val="0"/>
        <w:autoSpaceDN w:val="0"/>
        <w:spacing w:line="560" w:lineRule="exact"/>
        <w:ind w:firstLine="480" w:firstLineChars="200"/>
        <w:rPr>
          <w:rFonts w:ascii="Times New Roman" w:hAnsi="Times New Roman" w:eastAsia="仿宋"/>
        </w:rPr>
      </w:pPr>
      <w:r>
        <w:rPr>
          <w:rFonts w:hint="eastAsia" w:ascii="Times New Roman" w:hAnsi="Times New Roman" w:eastAsia="仿宋"/>
        </w:rPr>
        <w:t>为使参选人在准备参选文件时有合理的时间考虑比选文件的修改，比选人可酌情推迟参选截止时间和开选时间，并在官网上发布通知。</w:t>
      </w:r>
    </w:p>
    <w:p w14:paraId="23D9D6C0">
      <w:pPr>
        <w:numPr>
          <w:ilvl w:val="0"/>
          <w:numId w:val="5"/>
        </w:numPr>
        <w:autoSpaceDE w:val="0"/>
        <w:autoSpaceDN w:val="0"/>
        <w:spacing w:line="560" w:lineRule="exact"/>
        <w:ind w:firstLine="480" w:firstLineChars="200"/>
        <w:rPr>
          <w:rFonts w:ascii="Times New Roman" w:hAnsi="Times New Roman" w:eastAsia="仿宋"/>
        </w:rPr>
      </w:pPr>
      <w:r>
        <w:rPr>
          <w:rFonts w:hint="eastAsia" w:ascii="Times New Roman" w:hAnsi="Times New Roman" w:eastAsia="仿宋"/>
        </w:rPr>
        <w:t>比选文件的修改书将构成比选文件的一部分，对参选人具有法律约束力。</w:t>
      </w:r>
    </w:p>
    <w:p w14:paraId="3BEAD039">
      <w:pPr>
        <w:pStyle w:val="5"/>
        <w:widowControl/>
        <w:spacing w:before="0" w:after="0" w:line="560" w:lineRule="exact"/>
        <w:ind w:left="576"/>
        <w:jc w:val="left"/>
        <w:rPr>
          <w:rFonts w:ascii="Times New Roman" w:hAnsi="Times New Roman" w:eastAsia="仿宋"/>
        </w:rPr>
      </w:pPr>
      <w:bookmarkStart w:id="93" w:name="_Toc9517"/>
      <w:bookmarkStart w:id="94" w:name="_Toc23519"/>
      <w:bookmarkStart w:id="95" w:name="_Toc8686"/>
      <w:bookmarkStart w:id="96" w:name="_Toc7078"/>
      <w:bookmarkStart w:id="97" w:name="_Toc1345"/>
      <w:bookmarkStart w:id="98" w:name="_Toc8272"/>
      <w:bookmarkStart w:id="99" w:name="_Toc30601"/>
      <w:bookmarkStart w:id="100" w:name="_Toc4496"/>
      <w:bookmarkStart w:id="101" w:name="_Toc9924"/>
      <w:bookmarkStart w:id="102" w:name="_Toc30092"/>
      <w:bookmarkStart w:id="103" w:name="_Toc91421093"/>
      <w:bookmarkStart w:id="104" w:name="_Toc31099"/>
      <w:r>
        <w:rPr>
          <w:rFonts w:hint="eastAsia" w:ascii="Times New Roman" w:hAnsi="Times New Roman" w:eastAsia="仿宋"/>
        </w:rPr>
        <w:t>六、参选人资格</w:t>
      </w:r>
      <w:bookmarkEnd w:id="93"/>
      <w:bookmarkEnd w:id="94"/>
      <w:bookmarkEnd w:id="95"/>
      <w:bookmarkEnd w:id="96"/>
      <w:bookmarkEnd w:id="97"/>
      <w:bookmarkEnd w:id="98"/>
      <w:bookmarkEnd w:id="99"/>
      <w:bookmarkEnd w:id="100"/>
      <w:bookmarkEnd w:id="101"/>
      <w:bookmarkEnd w:id="102"/>
      <w:bookmarkEnd w:id="103"/>
      <w:bookmarkEnd w:id="104"/>
    </w:p>
    <w:p w14:paraId="08AE4C81">
      <w:pPr>
        <w:autoSpaceDE w:val="0"/>
        <w:autoSpaceDN w:val="0"/>
        <w:spacing w:line="560" w:lineRule="exact"/>
        <w:ind w:firstLine="480" w:firstLineChars="200"/>
        <w:rPr>
          <w:rFonts w:ascii="Times New Roman" w:hAnsi="Times New Roman" w:eastAsia="仿宋"/>
        </w:rPr>
      </w:pPr>
      <w:r>
        <w:rPr>
          <w:rFonts w:hint="eastAsia" w:ascii="Times New Roman" w:hAnsi="Times New Roman" w:eastAsia="仿宋"/>
        </w:rPr>
        <w:t>除本比选文件第一章“比选公告”第一条规定外，参选人还应具备以下资格：</w:t>
      </w:r>
    </w:p>
    <w:p w14:paraId="7944AC8E">
      <w:pPr>
        <w:numPr>
          <w:ilvl w:val="0"/>
          <w:numId w:val="6"/>
        </w:numPr>
        <w:autoSpaceDE w:val="0"/>
        <w:autoSpaceDN w:val="0"/>
        <w:spacing w:line="560" w:lineRule="exact"/>
        <w:ind w:firstLine="480" w:firstLineChars="200"/>
        <w:jc w:val="both"/>
        <w:rPr>
          <w:rFonts w:ascii="Times New Roman" w:hAnsi="Times New Roman" w:eastAsia="仿宋"/>
        </w:rPr>
      </w:pPr>
      <w:r>
        <w:rPr>
          <w:rFonts w:hint="eastAsia" w:ascii="Times New Roman" w:hAnsi="Times New Roman" w:eastAsia="仿宋"/>
        </w:rPr>
        <w:t>近3年内没有骗取中选、中标或严重违约等其它不良记录，无安全事故，参选时没有处于被责令停业，财产被接管、冻结，破产状态内</w:t>
      </w:r>
      <w:r>
        <w:rPr>
          <w:rFonts w:hint="eastAsia" w:ascii="Times New Roman" w:hAnsi="Times New Roman" w:eastAsia="仿宋" w:cs="仿宋"/>
          <w:color w:val="000000"/>
        </w:rPr>
        <w:t>或其他丧失履约能力的情形</w:t>
      </w:r>
      <w:r>
        <w:rPr>
          <w:rFonts w:hint="eastAsia" w:ascii="Times New Roman" w:hAnsi="Times New Roman" w:eastAsia="仿宋"/>
        </w:rPr>
        <w:t>，以及可能影响到合同履行的其他问题，也不存在按照国家法律规定须对本项目回避的情况。</w:t>
      </w:r>
    </w:p>
    <w:p w14:paraId="5968D4EE">
      <w:pPr>
        <w:numPr>
          <w:ilvl w:val="0"/>
          <w:numId w:val="6"/>
        </w:numPr>
        <w:autoSpaceDE w:val="0"/>
        <w:autoSpaceDN w:val="0"/>
        <w:spacing w:line="560" w:lineRule="exact"/>
        <w:ind w:firstLine="480" w:firstLineChars="200"/>
        <w:jc w:val="both"/>
        <w:rPr>
          <w:rFonts w:ascii="Times New Roman" w:hAnsi="Times New Roman" w:eastAsia="仿宋"/>
        </w:rPr>
      </w:pPr>
      <w:r>
        <w:rPr>
          <w:rFonts w:hint="eastAsia" w:ascii="Times New Roman" w:hAnsi="Times New Roman" w:eastAsia="仿宋"/>
        </w:rPr>
        <w:t>参选人应具有履行合同的相关能力，参选人如中选，在结算时必须提供与参选人签章处单位名称一致的全额增值税专用发票,对于使用非本公司发票的，比选人有权拒绝付款直至解除与其签订的合同。</w:t>
      </w:r>
    </w:p>
    <w:p w14:paraId="012D2196">
      <w:pPr>
        <w:pStyle w:val="5"/>
        <w:spacing w:before="0" w:after="0" w:line="560" w:lineRule="exact"/>
        <w:ind w:firstLine="643" w:firstLineChars="200"/>
        <w:rPr>
          <w:rFonts w:ascii="Times New Roman" w:hAnsi="Times New Roman" w:eastAsia="仿宋"/>
        </w:rPr>
      </w:pPr>
      <w:bookmarkStart w:id="105" w:name="_Toc30063"/>
      <w:bookmarkStart w:id="106" w:name="_Toc13252"/>
      <w:bookmarkStart w:id="107" w:name="_Toc11175"/>
      <w:bookmarkStart w:id="108" w:name="_Toc6697"/>
      <w:bookmarkStart w:id="109" w:name="_Toc18769"/>
      <w:bookmarkStart w:id="110" w:name="_Toc22043"/>
      <w:bookmarkStart w:id="111" w:name="_Toc2132"/>
      <w:bookmarkStart w:id="112" w:name="_Toc22040"/>
      <w:bookmarkStart w:id="113" w:name="_Toc6832"/>
      <w:bookmarkStart w:id="114" w:name="_Toc14654"/>
      <w:bookmarkStart w:id="115" w:name="_Toc21247"/>
      <w:r>
        <w:rPr>
          <w:rFonts w:hint="eastAsia" w:ascii="Times New Roman" w:hAnsi="Times New Roman" w:eastAsia="仿宋"/>
          <w:lang w:val="en-US" w:eastAsia="zh-CN"/>
        </w:rPr>
        <w:t>七</w:t>
      </w:r>
      <w:r>
        <w:rPr>
          <w:rFonts w:hint="eastAsia" w:ascii="Times New Roman" w:hAnsi="Times New Roman" w:eastAsia="仿宋"/>
        </w:rPr>
        <w:t>、参选文件的递交</w:t>
      </w:r>
      <w:bookmarkEnd w:id="105"/>
      <w:bookmarkEnd w:id="106"/>
      <w:bookmarkEnd w:id="107"/>
      <w:bookmarkEnd w:id="108"/>
      <w:bookmarkEnd w:id="109"/>
      <w:bookmarkEnd w:id="110"/>
      <w:bookmarkEnd w:id="111"/>
      <w:bookmarkEnd w:id="112"/>
      <w:bookmarkEnd w:id="113"/>
      <w:bookmarkEnd w:id="114"/>
      <w:bookmarkEnd w:id="115"/>
    </w:p>
    <w:p w14:paraId="1E0E5F93">
      <w:pPr>
        <w:numPr>
          <w:ilvl w:val="0"/>
          <w:numId w:val="7"/>
        </w:numPr>
        <w:autoSpaceDE w:val="0"/>
        <w:autoSpaceDN w:val="0"/>
        <w:spacing w:line="560" w:lineRule="exact"/>
        <w:ind w:firstLine="480" w:firstLineChars="200"/>
        <w:rPr>
          <w:rFonts w:ascii="Times New Roman" w:hAnsi="Times New Roman" w:eastAsia="仿宋"/>
          <w:highlight w:val="none"/>
        </w:rPr>
      </w:pPr>
      <w:r>
        <w:rPr>
          <w:rFonts w:hint="eastAsia" w:ascii="Times New Roman" w:hAnsi="Times New Roman" w:eastAsia="仿宋"/>
        </w:rPr>
        <w:t>参选文件的密封和标记：参选人应将参选文件正本和所有的副本分开密封装在信封中，且在信封上标明“正本”“副本”字样。</w:t>
      </w:r>
      <w:r>
        <w:rPr>
          <w:rFonts w:hint="eastAsia" w:ascii="Times New Roman" w:hAnsi="Times New Roman" w:eastAsia="仿宋"/>
          <w:highlight w:val="none"/>
        </w:rPr>
        <w:t>参选人应编制参选文件一式</w:t>
      </w:r>
      <w:r>
        <w:rPr>
          <w:rFonts w:hint="eastAsia" w:ascii="Times New Roman" w:hAnsi="Times New Roman" w:eastAsia="仿宋"/>
          <w:highlight w:val="none"/>
          <w:lang w:val="en-US" w:eastAsia="zh-CN"/>
        </w:rPr>
        <w:t>贰</w:t>
      </w:r>
      <w:r>
        <w:rPr>
          <w:rFonts w:hint="eastAsia" w:ascii="Times New Roman" w:hAnsi="Times New Roman" w:eastAsia="仿宋"/>
          <w:highlight w:val="none"/>
        </w:rPr>
        <w:t>份，其中正本一份和副本</w:t>
      </w:r>
      <w:r>
        <w:rPr>
          <w:rFonts w:hint="eastAsia" w:ascii="Times New Roman" w:hAnsi="Times New Roman" w:eastAsia="仿宋"/>
          <w:highlight w:val="none"/>
          <w:lang w:val="en-US" w:eastAsia="zh-CN"/>
        </w:rPr>
        <w:t>一</w:t>
      </w:r>
      <w:r>
        <w:rPr>
          <w:rFonts w:hint="eastAsia" w:ascii="Times New Roman" w:hAnsi="Times New Roman" w:eastAsia="仿宋"/>
          <w:highlight w:val="none"/>
        </w:rPr>
        <w:t>份，参选文件电子版一份。参选文件密封封口处须加盖参选人公章，否则其参选将被拒绝。</w:t>
      </w:r>
    </w:p>
    <w:p w14:paraId="2E92BA32">
      <w:pPr>
        <w:numPr>
          <w:ilvl w:val="0"/>
          <w:numId w:val="7"/>
        </w:numPr>
        <w:autoSpaceDE w:val="0"/>
        <w:autoSpaceDN w:val="0"/>
        <w:spacing w:line="560" w:lineRule="exact"/>
        <w:ind w:firstLine="480" w:firstLineChars="200"/>
        <w:rPr>
          <w:rFonts w:ascii="Times New Roman" w:hAnsi="Times New Roman" w:eastAsia="仿宋"/>
          <w:highlight w:val="none"/>
        </w:rPr>
      </w:pPr>
      <w:r>
        <w:rPr>
          <w:rFonts w:hint="eastAsia" w:ascii="Times New Roman" w:hAnsi="Times New Roman" w:eastAsia="仿宋"/>
          <w:highlight w:val="none"/>
          <w:lang w:val="en-US" w:eastAsia="zh-CN"/>
        </w:rPr>
        <w:t>参选</w:t>
      </w:r>
      <w:r>
        <w:rPr>
          <w:rFonts w:hint="eastAsia" w:ascii="Times New Roman" w:hAnsi="Times New Roman" w:eastAsia="仿宋"/>
          <w:highlight w:val="none"/>
        </w:rPr>
        <w:t>文件递交的截止时间：</w:t>
      </w:r>
      <w:r>
        <w:rPr>
          <w:rFonts w:hint="eastAsia" w:ascii="Times New Roman" w:hAnsi="Times New Roman" w:eastAsia="仿宋"/>
          <w:highlight w:val="none"/>
          <w:lang w:val="en-US" w:eastAsia="zh-CN"/>
        </w:rPr>
        <w:t xml:space="preserve">2025 </w:t>
      </w:r>
      <w:r>
        <w:rPr>
          <w:rFonts w:hint="eastAsia" w:ascii="Times New Roman" w:hAnsi="Times New Roman" w:eastAsia="仿宋"/>
          <w:highlight w:val="none"/>
        </w:rPr>
        <w:t>年</w:t>
      </w:r>
      <w:r>
        <w:rPr>
          <w:rFonts w:hint="eastAsia" w:ascii="Times New Roman" w:hAnsi="Times New Roman" w:eastAsia="仿宋"/>
          <w:highlight w:val="none"/>
          <w:lang w:val="en-US" w:eastAsia="zh-CN"/>
        </w:rPr>
        <w:t xml:space="preserve"> 6 </w:t>
      </w:r>
      <w:r>
        <w:rPr>
          <w:rFonts w:hint="eastAsia" w:ascii="Times New Roman" w:hAnsi="Times New Roman" w:eastAsia="仿宋"/>
          <w:highlight w:val="none"/>
        </w:rPr>
        <w:t>月</w:t>
      </w:r>
      <w:r>
        <w:rPr>
          <w:rFonts w:hint="eastAsia" w:ascii="Times New Roman" w:hAnsi="Times New Roman" w:eastAsia="仿宋"/>
          <w:highlight w:val="none"/>
          <w:lang w:val="en-US" w:eastAsia="zh-CN"/>
        </w:rPr>
        <w:t>25</w:t>
      </w:r>
      <w:r>
        <w:rPr>
          <w:rFonts w:hint="eastAsia" w:ascii="Times New Roman" w:hAnsi="Times New Roman" w:eastAsia="仿宋"/>
          <w:highlight w:val="none"/>
        </w:rPr>
        <w:t>日</w:t>
      </w:r>
      <w:r>
        <w:rPr>
          <w:rFonts w:hint="eastAsia" w:ascii="Times New Roman" w:hAnsi="Times New Roman" w:eastAsia="仿宋"/>
          <w:highlight w:val="none"/>
          <w:lang w:val="en-US" w:eastAsia="zh-CN"/>
        </w:rPr>
        <w:t>9:00</w:t>
      </w:r>
      <w:r>
        <w:rPr>
          <w:rFonts w:hint="eastAsia" w:ascii="Times New Roman" w:hAnsi="Times New Roman" w:eastAsia="仿宋"/>
          <w:highlight w:val="none"/>
        </w:rPr>
        <w:t>前。</w:t>
      </w:r>
    </w:p>
    <w:p w14:paraId="20BB08F3">
      <w:pPr>
        <w:numPr>
          <w:ilvl w:val="0"/>
          <w:numId w:val="7"/>
        </w:numPr>
        <w:tabs>
          <w:tab w:val="left" w:pos="8598"/>
        </w:tabs>
        <w:autoSpaceDE w:val="0"/>
        <w:autoSpaceDN w:val="0"/>
        <w:spacing w:line="560" w:lineRule="exact"/>
        <w:ind w:firstLine="480" w:firstLineChars="200"/>
        <w:rPr>
          <w:rFonts w:ascii="Times New Roman" w:hAnsi="Times New Roman" w:eastAsia="仿宋"/>
          <w:highlight w:val="none"/>
        </w:rPr>
      </w:pPr>
      <w:r>
        <w:rPr>
          <w:rFonts w:hint="eastAsia" w:ascii="Times New Roman" w:hAnsi="Times New Roman" w:eastAsia="仿宋"/>
          <w:highlight w:val="none"/>
        </w:rPr>
        <w:t>提交参选文件的地点为：福建省福州市晋安区塔头路396号福建能源石化大厦15层，福建省能源石化信息科技有限责任公司；联系人：詹先生，联系电话：</w:t>
      </w:r>
      <w:r>
        <w:rPr>
          <w:rFonts w:hint="eastAsia" w:ascii="Times New Roman" w:hAnsi="Times New Roman" w:eastAsia="仿宋" w:cs="仿宋"/>
          <w:highlight w:val="none"/>
          <w:lang w:val="zh-CN"/>
        </w:rPr>
        <w:t>0591-</w:t>
      </w:r>
      <w:r>
        <w:rPr>
          <w:rFonts w:hint="eastAsia" w:ascii="Times New Roman" w:hAnsi="Times New Roman" w:eastAsia="仿宋" w:cs="仿宋"/>
          <w:highlight w:val="none"/>
        </w:rPr>
        <w:t>23410711</w:t>
      </w:r>
      <w:r>
        <w:rPr>
          <w:rFonts w:hint="eastAsia" w:ascii="Times New Roman" w:hAnsi="Times New Roman" w:eastAsia="仿宋"/>
          <w:highlight w:val="none"/>
        </w:rPr>
        <w:t>。</w:t>
      </w:r>
    </w:p>
    <w:p w14:paraId="71A76300">
      <w:pPr>
        <w:numPr>
          <w:ilvl w:val="0"/>
          <w:numId w:val="7"/>
        </w:numPr>
        <w:autoSpaceDE w:val="0"/>
        <w:autoSpaceDN w:val="0"/>
        <w:spacing w:line="560" w:lineRule="exact"/>
        <w:ind w:firstLine="480" w:firstLineChars="200"/>
        <w:rPr>
          <w:rFonts w:ascii="Times New Roman" w:hAnsi="Times New Roman" w:eastAsia="仿宋"/>
        </w:rPr>
      </w:pPr>
      <w:r>
        <w:rPr>
          <w:rFonts w:hint="eastAsia" w:ascii="Times New Roman" w:hAnsi="Times New Roman" w:eastAsia="仿宋"/>
        </w:rPr>
        <w:t>只允许参选人有一个参选方案，否则将被视为无效参选。</w:t>
      </w:r>
    </w:p>
    <w:p w14:paraId="298BA73C">
      <w:pPr>
        <w:numPr>
          <w:ilvl w:val="0"/>
          <w:numId w:val="7"/>
        </w:numPr>
        <w:autoSpaceDE w:val="0"/>
        <w:autoSpaceDN w:val="0"/>
        <w:spacing w:line="560" w:lineRule="exact"/>
        <w:ind w:firstLine="480" w:firstLineChars="200"/>
        <w:rPr>
          <w:rFonts w:ascii="Times New Roman" w:hAnsi="Times New Roman" w:eastAsia="仿宋"/>
        </w:rPr>
      </w:pPr>
      <w:r>
        <w:rPr>
          <w:rFonts w:hint="eastAsia" w:ascii="Times New Roman" w:hAnsi="Times New Roman" w:eastAsia="仿宋"/>
        </w:rPr>
        <w:t>逾期送达的或未送达指定地点或参选文件密封不符合规定要求的参选文件，比选人不予受理。参选人所提交的比选文件在评选结束后，无论中选与否都不退还。</w:t>
      </w:r>
    </w:p>
    <w:p w14:paraId="565A7823">
      <w:pPr>
        <w:numPr>
          <w:ilvl w:val="0"/>
          <w:numId w:val="7"/>
        </w:numPr>
        <w:autoSpaceDE w:val="0"/>
        <w:autoSpaceDN w:val="0"/>
        <w:spacing w:line="560" w:lineRule="exact"/>
        <w:ind w:firstLine="480" w:firstLineChars="200"/>
        <w:rPr>
          <w:rFonts w:ascii="Times New Roman" w:hAnsi="Times New Roman" w:eastAsia="仿宋"/>
        </w:rPr>
      </w:pPr>
      <w:r>
        <w:rPr>
          <w:rFonts w:hint="eastAsia" w:ascii="Times New Roman" w:hAnsi="Times New Roman" w:eastAsia="仿宋"/>
        </w:rPr>
        <w:t>参选人收到比选文件后，如有疑问需要澄清，应以书面形式在规定时间内报比选人。</w:t>
      </w:r>
    </w:p>
    <w:p w14:paraId="4DED2B68">
      <w:pPr>
        <w:numPr>
          <w:ilvl w:val="0"/>
          <w:numId w:val="7"/>
        </w:numPr>
        <w:autoSpaceDE w:val="0"/>
        <w:autoSpaceDN w:val="0"/>
        <w:spacing w:line="560" w:lineRule="exact"/>
        <w:ind w:firstLine="480" w:firstLineChars="200"/>
        <w:rPr>
          <w:rFonts w:ascii="Times New Roman" w:hAnsi="Times New Roman" w:eastAsia="仿宋"/>
        </w:rPr>
      </w:pPr>
      <w:r>
        <w:rPr>
          <w:rFonts w:hint="eastAsia" w:ascii="Times New Roman" w:hAnsi="Times New Roman" w:eastAsia="仿宋"/>
        </w:rPr>
        <w:t>参选人对比选人提供的比选文件所做出的推论、解释和结论，比选人概不负责。参选人由于对比选文件的任何推论和误解以及比选对有关问题的口头解释所造成的后果，均由参选人负责。</w:t>
      </w:r>
    </w:p>
    <w:p w14:paraId="01A29DEE">
      <w:pPr>
        <w:autoSpaceDE w:val="0"/>
        <w:autoSpaceDN w:val="0"/>
        <w:spacing w:line="560" w:lineRule="exact"/>
        <w:rPr>
          <w:rFonts w:ascii="Times New Roman" w:hAnsi="Times New Roman" w:eastAsia="仿宋"/>
        </w:rPr>
      </w:pPr>
    </w:p>
    <w:p w14:paraId="33ABBDDA">
      <w:pPr>
        <w:pStyle w:val="4"/>
        <w:spacing w:line="560" w:lineRule="exact"/>
        <w:ind w:firstLine="422"/>
        <w:jc w:val="center"/>
        <w:rPr>
          <w:rFonts w:eastAsia="仿宋" w:cs="宋体"/>
          <w:caps w:val="0"/>
          <w:sz w:val="44"/>
          <w:szCs w:val="44"/>
          <w:u w:val="none"/>
          <w:lang w:eastAsia="zh-CN"/>
        </w:rPr>
      </w:pPr>
      <w:r>
        <w:rPr>
          <w:rFonts w:eastAsia="仿宋"/>
          <w:caps w:val="0"/>
          <w:szCs w:val="24"/>
          <w:lang w:eastAsia="zh-CN"/>
        </w:rPr>
        <w:br w:type="page"/>
      </w:r>
      <w:bookmarkStart w:id="116" w:name="_Toc31192"/>
      <w:bookmarkStart w:id="117" w:name="_Toc91421094"/>
      <w:bookmarkStart w:id="118" w:name="_Toc29407"/>
      <w:bookmarkStart w:id="119" w:name="_Toc16679"/>
      <w:bookmarkStart w:id="120" w:name="_Toc20549"/>
      <w:bookmarkStart w:id="121" w:name="_Toc9353"/>
      <w:bookmarkStart w:id="122" w:name="_Toc3240"/>
      <w:bookmarkStart w:id="123" w:name="_Toc20993"/>
      <w:bookmarkStart w:id="124" w:name="_Toc15368"/>
      <w:bookmarkStart w:id="125" w:name="_Toc6833"/>
      <w:bookmarkStart w:id="126" w:name="_Toc638"/>
      <w:bookmarkStart w:id="127" w:name="_Toc15305"/>
      <w:r>
        <w:rPr>
          <w:rFonts w:eastAsia="仿宋" w:cs="宋体"/>
          <w:caps w:val="0"/>
          <w:sz w:val="44"/>
          <w:szCs w:val="44"/>
          <w:u w:val="none"/>
          <w:lang w:eastAsia="zh-CN"/>
        </w:rPr>
        <w:t>第</w:t>
      </w:r>
      <w:r>
        <w:rPr>
          <w:rFonts w:hint="eastAsia" w:eastAsia="仿宋" w:cs="宋体"/>
          <w:caps w:val="0"/>
          <w:sz w:val="44"/>
          <w:szCs w:val="44"/>
          <w:u w:val="none"/>
          <w:lang w:eastAsia="zh-CN"/>
        </w:rPr>
        <w:t>三</w:t>
      </w:r>
      <w:r>
        <w:rPr>
          <w:rFonts w:eastAsia="仿宋" w:cs="宋体"/>
          <w:caps w:val="0"/>
          <w:sz w:val="44"/>
          <w:szCs w:val="44"/>
          <w:u w:val="none"/>
          <w:lang w:eastAsia="zh-CN"/>
        </w:rPr>
        <w:t xml:space="preserve">章 </w:t>
      </w:r>
      <w:r>
        <w:rPr>
          <w:rFonts w:hint="eastAsia" w:eastAsia="仿宋" w:cs="宋体"/>
          <w:caps w:val="0"/>
          <w:sz w:val="44"/>
          <w:szCs w:val="44"/>
          <w:u w:val="none"/>
          <w:lang w:eastAsia="zh-CN"/>
        </w:rPr>
        <w:t>项目</w:t>
      </w:r>
      <w:bookmarkEnd w:id="116"/>
      <w:r>
        <w:rPr>
          <w:rFonts w:hint="eastAsia" w:eastAsia="仿宋" w:cs="宋体"/>
          <w:caps w:val="0"/>
          <w:sz w:val="44"/>
          <w:szCs w:val="44"/>
          <w:u w:val="none"/>
          <w:lang w:eastAsia="zh-CN"/>
        </w:rPr>
        <w:t>概况</w:t>
      </w:r>
      <w:bookmarkEnd w:id="117"/>
      <w:bookmarkEnd w:id="118"/>
      <w:bookmarkEnd w:id="119"/>
      <w:bookmarkEnd w:id="120"/>
      <w:bookmarkEnd w:id="121"/>
      <w:bookmarkEnd w:id="122"/>
      <w:bookmarkEnd w:id="123"/>
      <w:bookmarkEnd w:id="124"/>
      <w:bookmarkEnd w:id="125"/>
      <w:bookmarkEnd w:id="126"/>
      <w:bookmarkEnd w:id="127"/>
    </w:p>
    <w:p w14:paraId="1397B87F">
      <w:pPr>
        <w:pStyle w:val="5"/>
        <w:widowControl/>
        <w:spacing w:before="0" w:after="0" w:line="560" w:lineRule="exact"/>
        <w:ind w:left="576"/>
        <w:jc w:val="left"/>
        <w:rPr>
          <w:rFonts w:ascii="Times New Roman" w:hAnsi="Times New Roman" w:eastAsia="仿宋"/>
        </w:rPr>
      </w:pPr>
      <w:bookmarkStart w:id="128" w:name="_Toc26815"/>
      <w:bookmarkStart w:id="129" w:name="_Toc6246"/>
      <w:bookmarkStart w:id="130" w:name="_Toc3904"/>
      <w:bookmarkStart w:id="131" w:name="_Toc19389"/>
      <w:bookmarkStart w:id="132" w:name="_Toc19294"/>
      <w:bookmarkStart w:id="133" w:name="_Toc8500"/>
      <w:bookmarkStart w:id="134" w:name="_Toc12131"/>
      <w:bookmarkStart w:id="135" w:name="_Toc29865"/>
      <w:bookmarkStart w:id="136" w:name="_Toc15104"/>
      <w:bookmarkStart w:id="137" w:name="_Toc91421095"/>
      <w:bookmarkStart w:id="138" w:name="_Toc21080"/>
      <w:bookmarkStart w:id="139" w:name="_Toc9479"/>
      <w:r>
        <w:rPr>
          <w:rFonts w:hint="eastAsia" w:ascii="Times New Roman" w:hAnsi="Times New Roman" w:eastAsia="仿宋"/>
        </w:rPr>
        <w:t>一、集团简介</w:t>
      </w:r>
      <w:bookmarkEnd w:id="128"/>
      <w:bookmarkEnd w:id="129"/>
      <w:bookmarkEnd w:id="130"/>
      <w:bookmarkEnd w:id="131"/>
      <w:bookmarkEnd w:id="132"/>
      <w:bookmarkEnd w:id="133"/>
      <w:bookmarkEnd w:id="134"/>
      <w:bookmarkEnd w:id="135"/>
      <w:bookmarkEnd w:id="136"/>
      <w:bookmarkEnd w:id="137"/>
      <w:bookmarkEnd w:id="138"/>
      <w:bookmarkEnd w:id="139"/>
    </w:p>
    <w:p w14:paraId="4E7EA58A">
      <w:pPr>
        <w:pStyle w:val="15"/>
        <w:spacing w:before="0" w:beforeAutospacing="0" w:after="0" w:afterAutospacing="0" w:line="560" w:lineRule="exact"/>
        <w:ind w:firstLine="480" w:firstLineChars="200"/>
        <w:jc w:val="both"/>
        <w:rPr>
          <w:rFonts w:hint="eastAsia" w:ascii="Times New Roman" w:hAnsi="Times New Roman" w:eastAsia="仿宋"/>
        </w:rPr>
      </w:pPr>
      <w:r>
        <w:rPr>
          <w:rFonts w:hint="eastAsia" w:ascii="Times New Roman" w:hAnsi="Times New Roman" w:eastAsia="仿宋"/>
        </w:rPr>
        <w:t xml:space="preserve"> </w:t>
      </w:r>
      <w:r>
        <w:rPr>
          <w:rFonts w:ascii="Times New Roman" w:hAnsi="Times New Roman" w:eastAsia="仿宋"/>
        </w:rPr>
        <w:t>2021年8月2</w:t>
      </w:r>
      <w:r>
        <w:rPr>
          <w:rFonts w:hint="eastAsia" w:ascii="Times New Roman" w:hAnsi="Times New Roman" w:eastAsia="仿宋"/>
        </w:rPr>
        <w:t>7</w:t>
      </w:r>
      <w:r>
        <w:rPr>
          <w:rFonts w:ascii="Times New Roman" w:hAnsi="Times New Roman" w:eastAsia="仿宋"/>
        </w:rPr>
        <w:t>日，</w:t>
      </w:r>
      <w:r>
        <w:rPr>
          <w:rFonts w:hint="eastAsia" w:ascii="Times New Roman" w:hAnsi="Times New Roman" w:eastAsia="仿宋"/>
        </w:rPr>
        <w:t>福建省能源集团有限责任公司（下简称“能源集团”）与福建石油化工集团有限责任公司（下简称“石化集团”）整合重组，福建省能源石化信息科技有限责任公司（下简称“福建省能化集团”）正式成立。重组后，能源集团、石化集团成建制划入福建省能化集团，集团资产总额逾1500亿元</w:t>
      </w:r>
      <w:r>
        <w:rPr>
          <w:rFonts w:ascii="Times New Roman" w:hAnsi="Times New Roman" w:eastAsia="仿宋"/>
        </w:rPr>
        <w:t>，成为我省能源、石化产业一体化的龙头企业</w:t>
      </w:r>
      <w:r>
        <w:rPr>
          <w:rFonts w:hint="eastAsia" w:ascii="Times New Roman" w:hAnsi="Times New Roman" w:eastAsia="仿宋"/>
        </w:rPr>
        <w:t>。</w:t>
      </w:r>
    </w:p>
    <w:p w14:paraId="34EA3D8A">
      <w:pPr>
        <w:pStyle w:val="15"/>
        <w:spacing w:before="0" w:beforeAutospacing="0" w:after="0" w:afterAutospacing="0" w:line="560" w:lineRule="exact"/>
        <w:ind w:firstLine="480" w:firstLineChars="200"/>
        <w:jc w:val="both"/>
        <w:rPr>
          <w:rFonts w:ascii="Times New Roman" w:hAnsi="Times New Roman" w:eastAsia="仿宋"/>
        </w:rPr>
      </w:pPr>
      <w:r>
        <w:rPr>
          <w:rFonts w:ascii="Times New Roman" w:hAnsi="Times New Roman" w:eastAsia="仿宋"/>
        </w:rPr>
        <w:t>福建省能源石化信息科技有限责任公司以</w:t>
      </w:r>
      <w:r>
        <w:rPr>
          <w:rFonts w:hint="eastAsia" w:ascii="Times New Roman" w:hAnsi="Times New Roman" w:eastAsia="仿宋"/>
        </w:rPr>
        <w:t>福建省能化集团</w:t>
      </w:r>
      <w:r>
        <w:rPr>
          <w:rFonts w:ascii="Times New Roman" w:hAnsi="Times New Roman" w:eastAsia="仿宋"/>
        </w:rPr>
        <w:t>信息中心为基础组建而成，于2024年1月12日正式注册成立</w:t>
      </w:r>
      <w:r>
        <w:rPr>
          <w:rFonts w:hint="eastAsia" w:ascii="Times New Roman" w:hAnsi="Times New Roman" w:eastAsia="仿宋"/>
        </w:rPr>
        <w:t>，属于福建省能化集团的全资子公司。</w:t>
      </w:r>
    </w:p>
    <w:p w14:paraId="7047212C">
      <w:pPr>
        <w:pStyle w:val="5"/>
        <w:widowControl/>
        <w:numPr>
          <w:ilvl w:val="0"/>
          <w:numId w:val="8"/>
        </w:numPr>
        <w:spacing w:before="0" w:after="0" w:line="560" w:lineRule="exact"/>
        <w:ind w:left="576"/>
        <w:jc w:val="left"/>
        <w:rPr>
          <w:rFonts w:hint="eastAsia" w:ascii="Times New Roman" w:hAnsi="Times New Roman" w:eastAsia="仿宋"/>
        </w:rPr>
      </w:pPr>
      <w:bookmarkStart w:id="140" w:name="_Toc798"/>
      <w:bookmarkStart w:id="141" w:name="_Toc1263"/>
      <w:bookmarkStart w:id="142" w:name="_Toc28681"/>
      <w:bookmarkStart w:id="143" w:name="_Toc27872"/>
      <w:bookmarkStart w:id="144" w:name="_Toc28339"/>
      <w:bookmarkStart w:id="145" w:name="_Toc91421096"/>
      <w:bookmarkStart w:id="146" w:name="_Toc21943"/>
      <w:bookmarkStart w:id="147" w:name="_Toc32063"/>
      <w:bookmarkStart w:id="148" w:name="_Toc3172"/>
      <w:bookmarkStart w:id="149" w:name="_Toc23347"/>
      <w:bookmarkStart w:id="150" w:name="_Toc10039"/>
      <w:bookmarkStart w:id="151" w:name="_Toc10000"/>
      <w:r>
        <w:rPr>
          <w:rFonts w:hint="eastAsia" w:ascii="Times New Roman" w:hAnsi="Times New Roman" w:eastAsia="仿宋"/>
        </w:rPr>
        <w:t>项目</w:t>
      </w:r>
      <w:bookmarkEnd w:id="140"/>
      <w:bookmarkEnd w:id="141"/>
      <w:r>
        <w:rPr>
          <w:rFonts w:hint="eastAsia" w:ascii="Times New Roman" w:hAnsi="Times New Roman" w:eastAsia="仿宋"/>
        </w:rPr>
        <w:t>概况</w:t>
      </w:r>
      <w:bookmarkEnd w:id="142"/>
    </w:p>
    <w:bookmarkEnd w:id="143"/>
    <w:bookmarkEnd w:id="144"/>
    <w:bookmarkEnd w:id="145"/>
    <w:bookmarkEnd w:id="146"/>
    <w:bookmarkEnd w:id="147"/>
    <w:bookmarkEnd w:id="148"/>
    <w:bookmarkEnd w:id="149"/>
    <w:bookmarkEnd w:id="150"/>
    <w:bookmarkEnd w:id="151"/>
    <w:p w14:paraId="23812C2F">
      <w:pPr>
        <w:pStyle w:val="15"/>
        <w:spacing w:before="0" w:beforeAutospacing="0" w:after="0" w:afterAutospacing="0" w:line="560" w:lineRule="exact"/>
        <w:ind w:firstLine="480" w:firstLineChars="200"/>
        <w:jc w:val="both"/>
        <w:rPr>
          <w:rFonts w:ascii="Times New Roman" w:hAnsi="Times New Roman" w:eastAsia="仿宋"/>
        </w:rPr>
      </w:pPr>
      <w:bookmarkStart w:id="152" w:name="_Toc21238"/>
      <w:bookmarkStart w:id="153" w:name="_Toc15481"/>
      <w:bookmarkStart w:id="154" w:name="_Toc25830"/>
      <w:bookmarkStart w:id="155" w:name="_Toc12791"/>
      <w:bookmarkStart w:id="156" w:name="_Toc5887"/>
      <w:bookmarkStart w:id="157" w:name="_Toc5979"/>
      <w:bookmarkStart w:id="158" w:name="_Toc486321058"/>
      <w:bookmarkStart w:id="159" w:name="_Toc20868"/>
      <w:bookmarkStart w:id="160" w:name="_Toc28075"/>
      <w:bookmarkStart w:id="161" w:name="_Toc6730"/>
      <w:bookmarkStart w:id="162" w:name="_Toc91421102"/>
      <w:bookmarkStart w:id="163" w:name="_Toc12674"/>
      <w:r>
        <w:rPr>
          <w:rFonts w:ascii="Times New Roman" w:hAnsi="Times New Roman" w:eastAsia="仿宋"/>
        </w:rPr>
        <w:t>本项目建设地点</w:t>
      </w:r>
      <w:r>
        <w:rPr>
          <w:rFonts w:hint="eastAsia" w:ascii="Times New Roman" w:hAnsi="Times New Roman" w:eastAsia="仿宋"/>
          <w:lang w:val="en-US" w:eastAsia="zh-CN"/>
        </w:rPr>
        <w:t>由比选人指定</w:t>
      </w:r>
      <w:r>
        <w:rPr>
          <w:rFonts w:hint="eastAsia" w:ascii="Times New Roman" w:hAnsi="Times New Roman" w:eastAsia="仿宋"/>
        </w:rPr>
        <w:t>，项目内容主要包括</w:t>
      </w:r>
      <w:r>
        <w:rPr>
          <w:rFonts w:hint="eastAsia" w:ascii="Times New Roman" w:hAnsi="Times New Roman" w:eastAsia="仿宋"/>
          <w:lang w:val="en-US" w:eastAsia="zh-CN"/>
        </w:rPr>
        <w:t>1套视频会议系统、1套音频扩声系统及配套设施建设</w:t>
      </w:r>
      <w:r>
        <w:rPr>
          <w:rFonts w:hint="eastAsia" w:ascii="Times New Roman" w:hAnsi="Times New Roman" w:eastAsia="仿宋"/>
        </w:rPr>
        <w:t>。</w:t>
      </w:r>
    </w:p>
    <w:p w14:paraId="374CF9DE">
      <w:pPr>
        <w:pStyle w:val="5"/>
        <w:widowControl/>
        <w:numPr>
          <w:ilvl w:val="0"/>
          <w:numId w:val="8"/>
        </w:numPr>
        <w:spacing w:before="0" w:after="0" w:line="560" w:lineRule="exact"/>
        <w:ind w:left="576"/>
        <w:jc w:val="left"/>
        <w:rPr>
          <w:rFonts w:hint="eastAsia" w:ascii="Times New Roman" w:hAnsi="Times New Roman" w:eastAsia="仿宋"/>
        </w:rPr>
      </w:pPr>
      <w:bookmarkStart w:id="164" w:name="_Toc32582"/>
      <w:r>
        <w:rPr>
          <w:rFonts w:hint="eastAsia" w:ascii="Times New Roman" w:hAnsi="Times New Roman" w:eastAsia="仿宋"/>
        </w:rPr>
        <w:t>比选内容及要求</w:t>
      </w:r>
      <w:bookmarkEnd w:id="152"/>
      <w:bookmarkEnd w:id="153"/>
      <w:bookmarkEnd w:id="164"/>
    </w:p>
    <w:p w14:paraId="43C083EC">
      <w:pPr>
        <w:pStyle w:val="15"/>
        <w:spacing w:before="0" w:beforeAutospacing="0" w:after="0" w:afterAutospacing="0" w:line="560" w:lineRule="exact"/>
        <w:ind w:firstLine="482" w:firstLineChars="200"/>
        <w:jc w:val="both"/>
        <w:rPr>
          <w:rFonts w:ascii="Times New Roman" w:hAnsi="Times New Roman" w:eastAsia="仿宋"/>
          <w:color w:val="000000"/>
          <w:highlight w:val="none"/>
        </w:rPr>
      </w:pPr>
      <w:r>
        <w:rPr>
          <w:rFonts w:hint="eastAsia" w:ascii="仿宋" w:hAnsi="仿宋" w:eastAsia="仿宋" w:cs="仿宋"/>
          <w:b/>
          <w:lang w:eastAsia="zh-CN"/>
        </w:rPr>
        <w:t>福维新材料会议室系统建设项目</w:t>
      </w:r>
      <w:r>
        <w:rPr>
          <w:rFonts w:hint="eastAsia" w:ascii="Times New Roman" w:hAnsi="Times New Roman" w:eastAsia="仿宋"/>
          <w:color w:val="000000"/>
          <w:highlight w:val="none"/>
        </w:rPr>
        <w:t>本服务包最高限价不超过</w:t>
      </w:r>
      <w:r>
        <w:rPr>
          <w:rFonts w:hint="eastAsia" w:ascii="Times New Roman" w:hAnsi="Times New Roman" w:eastAsia="仿宋"/>
          <w:color w:val="000000"/>
          <w:highlight w:val="none"/>
          <w:lang w:val="en-US" w:eastAsia="zh-CN"/>
        </w:rPr>
        <w:t>15</w:t>
      </w:r>
      <w:r>
        <w:rPr>
          <w:rFonts w:hint="eastAsia" w:ascii="Times New Roman" w:hAnsi="Times New Roman" w:eastAsia="仿宋"/>
          <w:color w:val="000000"/>
          <w:highlight w:val="none"/>
        </w:rPr>
        <w:t>万元，比选人报价超过最高限价的视为无效报价。</w:t>
      </w:r>
    </w:p>
    <w:p w14:paraId="7F440926">
      <w:pPr>
        <w:pStyle w:val="15"/>
        <w:spacing w:before="0" w:beforeAutospacing="0" w:after="0" w:afterAutospacing="0" w:line="560" w:lineRule="exact"/>
        <w:ind w:firstLine="480" w:firstLineChars="200"/>
        <w:jc w:val="both"/>
        <w:rPr>
          <w:rFonts w:ascii="Times New Roman" w:hAnsi="Times New Roman" w:eastAsia="仿宋"/>
          <w:color w:val="000000"/>
          <w:highlight w:val="none"/>
        </w:rPr>
      </w:pPr>
      <w:r>
        <w:rPr>
          <w:rFonts w:hint="eastAsia" w:ascii="Times New Roman" w:hAnsi="Times New Roman" w:eastAsia="仿宋"/>
          <w:color w:val="000000"/>
          <w:highlight w:val="none"/>
        </w:rPr>
        <w:t>交货及安装周期：</w:t>
      </w:r>
      <w:r>
        <w:rPr>
          <w:rFonts w:hint="eastAsia" w:ascii="Times New Roman" w:hAnsi="Times New Roman" w:eastAsia="仿宋" w:cs="宋体"/>
          <w:color w:val="000000"/>
          <w:highlight w:val="none"/>
        </w:rPr>
        <w:t>合同生效之日起</w:t>
      </w:r>
      <w:r>
        <w:rPr>
          <w:rFonts w:hint="eastAsia" w:ascii="Times New Roman" w:hAnsi="Times New Roman" w:eastAsia="仿宋" w:cs="宋体"/>
          <w:color w:val="000000"/>
          <w:highlight w:val="none"/>
          <w:lang w:val="en-US" w:eastAsia="zh-CN"/>
        </w:rPr>
        <w:t>30</w:t>
      </w:r>
      <w:r>
        <w:rPr>
          <w:rFonts w:hint="eastAsia" w:ascii="Times New Roman" w:hAnsi="Times New Roman" w:eastAsia="仿宋" w:cs="宋体"/>
          <w:color w:val="000000"/>
          <w:highlight w:val="none"/>
        </w:rPr>
        <w:t>个日历日内完成设备到货、安装及调试。</w:t>
      </w:r>
    </w:p>
    <w:p w14:paraId="7AC2E654">
      <w:pPr>
        <w:pStyle w:val="15"/>
        <w:spacing w:before="0" w:beforeAutospacing="0" w:after="0" w:afterAutospacing="0" w:line="560" w:lineRule="exact"/>
        <w:ind w:firstLine="480" w:firstLineChars="200"/>
        <w:jc w:val="both"/>
        <w:rPr>
          <w:rFonts w:hint="eastAsia" w:ascii="Times New Roman" w:hAnsi="Times New Roman" w:eastAsia="仿宋" w:cs="宋体"/>
          <w:color w:val="000000"/>
          <w:highlight w:val="none"/>
        </w:rPr>
      </w:pPr>
      <w:r>
        <w:rPr>
          <w:rFonts w:hint="eastAsia" w:ascii="Times New Roman" w:hAnsi="Times New Roman" w:eastAsia="仿宋" w:cs="宋体"/>
          <w:color w:val="000000"/>
          <w:highlight w:val="none"/>
        </w:rPr>
        <w:t>标注★号为实质性条款（共</w:t>
      </w:r>
      <w:r>
        <w:rPr>
          <w:rFonts w:hint="eastAsia" w:ascii="Times New Roman" w:hAnsi="Times New Roman" w:eastAsia="仿宋" w:cs="宋体"/>
          <w:color w:val="000000"/>
          <w:highlight w:val="none"/>
          <w:lang w:val="en-US" w:eastAsia="zh-CN"/>
        </w:rPr>
        <w:t>5</w:t>
      </w:r>
      <w:r>
        <w:rPr>
          <w:rFonts w:hint="eastAsia" w:ascii="Times New Roman" w:hAnsi="Times New Roman" w:eastAsia="仿宋" w:cs="宋体"/>
          <w:color w:val="000000"/>
          <w:highlight w:val="none"/>
        </w:rPr>
        <w:t>项），任一项负偏离的为无效投标；</w:t>
      </w:r>
    </w:p>
    <w:p w14:paraId="3EA11161">
      <w:pPr>
        <w:pStyle w:val="15"/>
        <w:spacing w:before="0" w:beforeAutospacing="0" w:after="0" w:afterAutospacing="0" w:line="560" w:lineRule="exact"/>
        <w:ind w:firstLine="480" w:firstLineChars="200"/>
        <w:jc w:val="both"/>
        <w:rPr>
          <w:rFonts w:hint="eastAsia" w:ascii="Times New Roman" w:hAnsi="Times New Roman" w:eastAsia="仿宋" w:cs="宋体"/>
          <w:color w:val="000000"/>
          <w:highlight w:val="none"/>
          <w:lang w:eastAsia="zh-CN"/>
        </w:rPr>
      </w:pPr>
      <w:r>
        <w:rPr>
          <w:rFonts w:hint="eastAsia" w:ascii="Times New Roman" w:hAnsi="Times New Roman" w:eastAsia="仿宋" w:cs="宋体"/>
          <w:color w:val="000000"/>
          <w:highlight w:val="none"/>
        </w:rPr>
        <w:t>标注▲号条款（共</w:t>
      </w:r>
      <w:r>
        <w:rPr>
          <w:rFonts w:hint="eastAsia" w:ascii="Times New Roman" w:hAnsi="Times New Roman" w:eastAsia="仿宋" w:cs="宋体"/>
          <w:color w:val="000000"/>
          <w:highlight w:val="none"/>
          <w:lang w:val="en-US" w:eastAsia="zh-CN"/>
        </w:rPr>
        <w:t>7</w:t>
      </w:r>
      <w:r>
        <w:rPr>
          <w:rFonts w:hint="eastAsia" w:ascii="Times New Roman" w:hAnsi="Times New Roman" w:eastAsia="仿宋" w:cs="宋体"/>
          <w:color w:val="000000"/>
          <w:highlight w:val="none"/>
        </w:rPr>
        <w:t xml:space="preserve">项）存在负偏离的，每负偏离一项扣 </w:t>
      </w:r>
      <w:r>
        <w:rPr>
          <w:rFonts w:hint="eastAsia" w:ascii="Times New Roman" w:hAnsi="Times New Roman" w:eastAsia="仿宋" w:cs="宋体"/>
          <w:color w:val="000000"/>
          <w:highlight w:val="none"/>
          <w:lang w:val="en-US" w:eastAsia="zh-CN"/>
        </w:rPr>
        <w:t>2</w:t>
      </w:r>
      <w:r>
        <w:rPr>
          <w:rFonts w:hint="eastAsia" w:ascii="Times New Roman" w:hAnsi="Times New Roman" w:eastAsia="仿宋" w:cs="宋体"/>
          <w:color w:val="000000"/>
          <w:highlight w:val="none"/>
        </w:rPr>
        <w:t xml:space="preserve"> 分</w:t>
      </w:r>
      <w:r>
        <w:rPr>
          <w:rFonts w:hint="eastAsia" w:ascii="Times New Roman" w:hAnsi="Times New Roman" w:eastAsia="仿宋" w:cs="宋体"/>
          <w:color w:val="000000"/>
          <w:highlight w:val="none"/>
          <w:lang w:eastAsia="zh-CN"/>
        </w:rPr>
        <w:t>；</w:t>
      </w:r>
    </w:p>
    <w:p w14:paraId="74BE5715">
      <w:pPr>
        <w:pStyle w:val="15"/>
        <w:spacing w:before="0" w:beforeAutospacing="0" w:after="0" w:afterAutospacing="0" w:line="560" w:lineRule="exact"/>
        <w:ind w:firstLine="480" w:firstLineChars="200"/>
        <w:jc w:val="both"/>
        <w:rPr>
          <w:rFonts w:hint="eastAsia" w:ascii="Times New Roman" w:hAnsi="Times New Roman" w:eastAsia="仿宋" w:cs="宋体"/>
          <w:color w:val="000000"/>
          <w:highlight w:val="none"/>
        </w:rPr>
      </w:pPr>
      <w:r>
        <w:rPr>
          <w:rFonts w:hint="eastAsia" w:ascii="Times New Roman" w:hAnsi="Times New Roman" w:eastAsia="仿宋" w:cs="宋体"/>
          <w:color w:val="000000"/>
          <w:highlight w:val="none"/>
        </w:rPr>
        <w:t>未标注★号、 ▲号的条款存在负偏离的，每负偏离一项扣</w:t>
      </w:r>
      <w:r>
        <w:rPr>
          <w:rFonts w:hint="eastAsia" w:ascii="Times New Roman" w:hAnsi="Times New Roman" w:eastAsia="仿宋" w:cs="宋体"/>
          <w:color w:val="000000"/>
          <w:highlight w:val="none"/>
          <w:lang w:val="en-US" w:eastAsia="zh-CN"/>
        </w:rPr>
        <w:t>1</w:t>
      </w:r>
      <w:r>
        <w:rPr>
          <w:rFonts w:hint="eastAsia" w:ascii="Times New Roman" w:hAnsi="Times New Roman" w:eastAsia="仿宋" w:cs="宋体"/>
          <w:color w:val="000000"/>
          <w:highlight w:val="none"/>
        </w:rPr>
        <w:t>分。</w:t>
      </w:r>
    </w:p>
    <w:p w14:paraId="57B30A5D">
      <w:pPr>
        <w:pStyle w:val="15"/>
        <w:spacing w:before="0" w:beforeAutospacing="0" w:after="0" w:afterAutospacing="0" w:line="560" w:lineRule="exact"/>
        <w:ind w:firstLine="480" w:firstLineChars="200"/>
        <w:jc w:val="both"/>
        <w:rPr>
          <w:rFonts w:ascii="Times New Roman" w:hAnsi="Times New Roman" w:eastAsia="仿宋"/>
          <w:color w:val="000000"/>
        </w:rPr>
      </w:pPr>
      <w:r>
        <w:rPr>
          <w:rFonts w:hint="eastAsia" w:ascii="Times New Roman" w:hAnsi="Times New Roman" w:eastAsia="仿宋"/>
          <w:color w:val="000000"/>
        </w:rPr>
        <w:t>比选内容及要求：</w:t>
      </w: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7"/>
        <w:gridCol w:w="2316"/>
        <w:gridCol w:w="5865"/>
        <w:gridCol w:w="531"/>
        <w:gridCol w:w="427"/>
      </w:tblGrid>
      <w:tr w14:paraId="7A709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64D97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8AB6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名称</w:t>
            </w:r>
          </w:p>
        </w:tc>
        <w:tc>
          <w:tcPr>
            <w:tcW w:w="3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EF5163">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lang w:val="en-US"/>
              </w:rPr>
            </w:pPr>
            <w:r>
              <w:rPr>
                <w:rFonts w:hint="eastAsia" w:ascii="仿宋" w:hAnsi="仿宋" w:eastAsia="仿宋" w:cs="仿宋"/>
                <w:b/>
                <w:bCs/>
                <w:i w:val="0"/>
                <w:iCs w:val="0"/>
                <w:color w:val="000000"/>
                <w:kern w:val="0"/>
                <w:sz w:val="21"/>
                <w:szCs w:val="21"/>
                <w:u w:val="none"/>
                <w:lang w:val="en-US" w:eastAsia="zh-CN" w:bidi="ar"/>
              </w:rPr>
              <w:t>技术参数</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522E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16EB8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r>
      <w:tr w14:paraId="32AB4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CF72DD">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一</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C1C52">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视频会议系统</w:t>
            </w:r>
          </w:p>
        </w:tc>
        <w:tc>
          <w:tcPr>
            <w:tcW w:w="3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34465B">
            <w:pPr>
              <w:jc w:val="left"/>
              <w:rPr>
                <w:rFonts w:hint="eastAsia" w:ascii="仿宋" w:hAnsi="仿宋" w:eastAsia="仿宋" w:cs="仿宋"/>
                <w:b/>
                <w:bCs/>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F4DBA">
            <w:pPr>
              <w:jc w:val="center"/>
              <w:rPr>
                <w:rFonts w:hint="eastAsia" w:ascii="仿宋" w:hAnsi="仿宋" w:eastAsia="仿宋" w:cs="仿宋"/>
                <w:b/>
                <w:bCs/>
                <w:i w:val="0"/>
                <w:iCs w:val="0"/>
                <w:color w:val="000000"/>
                <w:sz w:val="21"/>
                <w:szCs w:val="21"/>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582E53">
            <w:pPr>
              <w:jc w:val="center"/>
              <w:rPr>
                <w:rFonts w:hint="eastAsia" w:ascii="仿宋" w:hAnsi="仿宋" w:eastAsia="仿宋" w:cs="仿宋"/>
                <w:b/>
                <w:bCs/>
                <w:i w:val="0"/>
                <w:iCs w:val="0"/>
                <w:color w:val="000000"/>
                <w:sz w:val="21"/>
                <w:szCs w:val="21"/>
                <w:u w:val="none"/>
              </w:rPr>
            </w:pPr>
          </w:p>
        </w:tc>
      </w:tr>
      <w:tr w14:paraId="25370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A37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27" w:type="pct"/>
            <w:tcBorders>
              <w:top w:val="single" w:color="000000" w:sz="4" w:space="0"/>
              <w:left w:val="single" w:color="000000" w:sz="4" w:space="0"/>
              <w:bottom w:val="nil"/>
              <w:right w:val="single" w:color="000000" w:sz="4" w:space="0"/>
            </w:tcBorders>
            <w:shd w:val="clear" w:color="auto" w:fill="FFFFFF"/>
            <w:vAlign w:val="center"/>
          </w:tcPr>
          <w:p w14:paraId="685F004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视频会议终端</w:t>
            </w:r>
          </w:p>
        </w:tc>
        <w:tc>
          <w:tcPr>
            <w:tcW w:w="3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EEBB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1、多媒体框架协议：支持ITU-T H.323、IETF SIP。</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2、视频编解码协议：支持H.265、H.264 HP、H.264 BP、H.263、H.263+。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3、双流能力：支持1080P30 + 1080P30。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4、视频输入接口：≥2×HDMI。</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5、视频输出接口：≥2×HDMI。</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6、音频输入接口：≥2×RCA,1×卡侬头。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7、音频输出接口：≥4×RCA。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8、其他接口：≥1×USB口、≥2×10/100/1000M LAN 、≥1×串口。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9、带宽：64kbps～8Mbps。</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D7E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7D44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4CBA8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0940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827" w:type="pct"/>
            <w:tcBorders>
              <w:top w:val="single" w:color="000000" w:sz="4" w:space="0"/>
              <w:left w:val="single" w:color="000000" w:sz="4" w:space="0"/>
              <w:bottom w:val="nil"/>
              <w:right w:val="single" w:color="000000" w:sz="4" w:space="0"/>
            </w:tcBorders>
            <w:shd w:val="clear" w:color="auto" w:fill="FFFFFF"/>
            <w:vAlign w:val="center"/>
          </w:tcPr>
          <w:p w14:paraId="174951B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高清视频会议摄像机</w:t>
            </w:r>
          </w:p>
        </w:tc>
        <w:tc>
          <w:tcPr>
            <w:tcW w:w="3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3BF8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★1、图像传感器：CMOS图像传感器，≥851万像素。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2、视频输出像素：支持4K 25/30、1080p50/60、1080p25/30分辨率。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★3、镜头变焦：≥12倍光学变焦。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4、最大视角：水平：≥80°。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5、平移/俯仰角：≥+/-110°（平移）、 ≥+/- 30°（俯仰）。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6、预设位数量：≥255个。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7、视频输出接口：≥1×HDMI 接口、≥1×USB 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8、支持中控控制。</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EEA3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AEE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225B7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D428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CD750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无线投屏器</w:t>
            </w:r>
          </w:p>
        </w:tc>
        <w:tc>
          <w:tcPr>
            <w:tcW w:w="3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B4BB2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1、1个主机，2个发射器，支持2路信号同屏显示。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2、支持三种接口发射器：USB发射器、HDMI发射器和TYPEC发射器。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3、无线传输可视距离：50米。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4、输出分辨率：4K。</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C897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C9F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18E0F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CC208">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 xml:space="preserve">二 </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063BA">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音频扩声系统</w:t>
            </w:r>
          </w:p>
        </w:tc>
        <w:tc>
          <w:tcPr>
            <w:tcW w:w="3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B0F14">
            <w:pPr>
              <w:jc w:val="left"/>
              <w:rPr>
                <w:rFonts w:hint="eastAsia" w:ascii="仿宋" w:hAnsi="仿宋" w:eastAsia="仿宋" w:cs="仿宋"/>
                <w:b/>
                <w:bCs/>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3C061">
            <w:pPr>
              <w:jc w:val="center"/>
              <w:rPr>
                <w:rFonts w:hint="eastAsia" w:ascii="仿宋" w:hAnsi="仿宋" w:eastAsia="仿宋" w:cs="仿宋"/>
                <w:b/>
                <w:bCs/>
                <w:i w:val="0"/>
                <w:iCs w:val="0"/>
                <w:color w:val="000000"/>
                <w:sz w:val="21"/>
                <w:szCs w:val="21"/>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B1223">
            <w:pPr>
              <w:jc w:val="center"/>
              <w:rPr>
                <w:rFonts w:hint="eastAsia" w:ascii="仿宋" w:hAnsi="仿宋" w:eastAsia="仿宋" w:cs="仿宋"/>
                <w:b/>
                <w:bCs/>
                <w:i w:val="0"/>
                <w:iCs w:val="0"/>
                <w:color w:val="000000"/>
                <w:sz w:val="21"/>
                <w:szCs w:val="21"/>
                <w:u w:val="none"/>
              </w:rPr>
            </w:pPr>
          </w:p>
        </w:tc>
      </w:tr>
      <w:tr w14:paraId="718CA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CD3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6215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专业音箱</w:t>
            </w:r>
          </w:p>
        </w:tc>
        <w:tc>
          <w:tcPr>
            <w:tcW w:w="3240" w:type="pct"/>
            <w:tcBorders>
              <w:top w:val="single" w:color="000000" w:sz="4" w:space="0"/>
              <w:left w:val="nil"/>
              <w:bottom w:val="single" w:color="000000" w:sz="4" w:space="0"/>
              <w:right w:val="single" w:color="000000" w:sz="4" w:space="0"/>
            </w:tcBorders>
            <w:shd w:val="clear" w:color="auto" w:fill="FFFFFF"/>
            <w:vAlign w:val="center"/>
          </w:tcPr>
          <w:p w14:paraId="5AC31A4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1、阻抗：8Ω。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2、频响：≥65Hz~20KHz。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3、额定功率：≥150W。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4、峰值功率：≥600W。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5、灵敏度：≥95dB/W/M。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6、最大声压级（额定/峰值）：≥117dB/123dB。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7、覆盖角度：≥(H)80°≥(V)60°。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★8、高音：≥3"锥形高音单元×1，低音：≥8"低音×1。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9、含音箱固定支架。</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944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FB8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r>
      <w:tr w14:paraId="39CC0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849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0B7AB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专业功放</w:t>
            </w:r>
          </w:p>
        </w:tc>
        <w:tc>
          <w:tcPr>
            <w:tcW w:w="3240" w:type="pct"/>
            <w:tcBorders>
              <w:top w:val="single" w:color="000000" w:sz="4" w:space="0"/>
              <w:left w:val="nil"/>
              <w:bottom w:val="single" w:color="000000" w:sz="4" w:space="0"/>
              <w:right w:val="single" w:color="000000" w:sz="4" w:space="0"/>
            </w:tcBorders>
            <w:shd w:val="clear" w:color="auto" w:fill="FFFFFF"/>
            <w:vAlign w:val="center"/>
          </w:tcPr>
          <w:p w14:paraId="7722F43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★1、输出功率：立体声@8Ω：≥200W×2；立体声@4Ω：≥400W×2。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2、输入灵敏度：≥2.2dBu(1V)。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3、频率响应(@1W功率下)：≥20Hz-20KHz/±1dB @8Ω。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4、内置智能削峰限幅器，支持开机软启动，防止开机时向电网吸收大电流，干扰其它用电设备。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5、具有：过压保护，欠压保护，过流保护，直流保护，输出短路保护，温控风扇等功能。</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004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3AB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534D0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5BA3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9BF0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调音台</w:t>
            </w:r>
          </w:p>
        </w:tc>
        <w:tc>
          <w:tcPr>
            <w:tcW w:w="3240" w:type="pct"/>
            <w:tcBorders>
              <w:top w:val="single" w:color="000000" w:sz="4" w:space="0"/>
              <w:left w:val="nil"/>
              <w:bottom w:val="single" w:color="000000" w:sz="4" w:space="0"/>
              <w:right w:val="single" w:color="000000" w:sz="4" w:space="0"/>
            </w:tcBorders>
            <w:shd w:val="clear" w:color="auto" w:fill="FFFFFF"/>
            <w:vAlign w:val="center"/>
          </w:tcPr>
          <w:p w14:paraId="6EB23C4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1、支持≥8路麦克风输入兼容6路线路输入接口，支持≥2路立体声输入接口，≥4路RCA输入，话筒接口幻象电源：+48V。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2、具有≥2组立体声输出、≥4路编组输出、≥4路辅助输出、≥1个耳机监听输出、≥1个接口双路效果输出 、≥1组控制室输出、≥1组主混音断点插入、≥6个断点插入。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3、内置≥24位DSP效果器，提供≥100种预设效果。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4、具备≥13个60mm行程的高精密碳膜推子。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5、内置USB声卡模块，支持连接电脑进行音乐播放和声音录音；内置MP3播放器，支持≥1个USB接口接U盘播放音乐。</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BC38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CA7A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379F3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3C7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786B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音频处理器</w:t>
            </w:r>
          </w:p>
        </w:tc>
        <w:tc>
          <w:tcPr>
            <w:tcW w:w="3240" w:type="pct"/>
            <w:tcBorders>
              <w:top w:val="single" w:color="000000" w:sz="4" w:space="0"/>
              <w:left w:val="nil"/>
              <w:bottom w:val="single" w:color="000000" w:sz="4" w:space="0"/>
              <w:right w:val="single" w:color="000000" w:sz="4" w:space="0"/>
            </w:tcBorders>
            <w:shd w:val="clear" w:color="auto" w:fill="FFFFFF"/>
            <w:vAlign w:val="center"/>
          </w:tcPr>
          <w:p w14:paraId="79ECB2E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1、具有≥4路线路音频凤凰端子平衡输入接口（具有48V幻象供电）、≥4路线路音频凤凰端子平衡输出接口。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提供第三方权威检测机构出具的带有CMA或CNAS标识的检测报告佐证参数真实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3、具有矩阵增益调节功能，每个输入通道参与混音的增益可调，增益调节范围等同或优于-72db到12db。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音频处理器具有跨平台软件，可运行的操作系统版本≥8种，包括Windows7/10/11、银河麒麟桌面操作系统（兆芯版）、银河麒麟桌面操作系统（飞腾版）、macOS系统、统信UOS、Ubuntu桌面版操作系统。（提供第三方权威检测机构出具的带有CMA或CNAS标识的检测报告佐证参数真实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5、产品具有PC客户端、手机移动端、安卓平板端不同控制方式，可以通同时登入APP软件、PC客户端同时连接设备，并实现多端数据的同步。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6、设备具有编码旋钮和IPS屏幕，可用于控制和配置设备静音，增益，场景；IPS屏幕能够显示IP地址，输入和输出通道的实时电平。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7、具有设备定位功能，客户端一键定位局域网内同类设备，被定位的设备会显示定位信息。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8、设备具有统一集中控制功能，支持≥65535台设备通过软件集中控制。</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6CE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D72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726CE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BD97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5543E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无线话筒（一拖二）</w:t>
            </w:r>
          </w:p>
        </w:tc>
        <w:tc>
          <w:tcPr>
            <w:tcW w:w="3240" w:type="pct"/>
            <w:tcBorders>
              <w:top w:val="single" w:color="000000" w:sz="4" w:space="0"/>
              <w:left w:val="nil"/>
              <w:bottom w:val="single" w:color="000000" w:sz="4" w:space="0"/>
              <w:right w:val="single" w:color="000000" w:sz="4" w:space="0"/>
            </w:tcBorders>
            <w:shd w:val="clear" w:color="auto" w:fill="FFFFFF"/>
            <w:vAlign w:val="center"/>
          </w:tcPr>
          <w:p w14:paraId="58868BB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1、基于数字U段的传输技术，pi/4-DQPSK调制方式，采用国产主控芯片，传输距离≥80米，接收机具有≥2路平衡输出、≥1路非平衡混音输出；具有混响、均衡、智能静音、音频加密、功率调节功能。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2、具有≥1台接收主机、≥2只手持发射机；频率范围等同或优于470MHz-510MHz、540MHz-590MHz、640MHz-690MHz、807MHz-830MHz四个频段使用。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具有自动静音功能，麦克风跌落、抛掷时，毫秒级自动静音，避免冲击声；实时监测设备姿态，静置≥5秒静音，≥8分钟关机，无需手动干预。（提供第三方权威检测机构出具的带有CMA或CNAS标识的检测报告佐证参数真实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▲4、具有多档位混响调节功能，混响效果≥15625个，效果占比、回响延时、混响幅度调节，三种音效各具有≥25档调节方式。（提供第三方权威检测机构出具的带有CMA或CNAS标识的检测报告佐证参数真实性）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5、具有多频段均衡调节功能，均衡调节≥2197种，麦克风均衡器调节功能，具有高、中、低音三种调节档位，每种效果支持≥13档调节。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6、具有长时间续航，发射机使用时长≥10小时。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7、具有ID码防串扰功能，采用32位唯一ID码，用于接收和发射配对，收发ID码必须相同才能对码，能够有效防止相同频率的信号相互串台。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8、接收机具有≥2个2.2英寸的TFT-LCD显示屏；发射机具有≥0.96英寸OLED显示屏，能够显示频率信息、音频加密状态、功率挡位、静音状态、电量格数信息。</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5221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21B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1A5E4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E42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FC1D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话筒天线</w:t>
            </w:r>
          </w:p>
        </w:tc>
        <w:tc>
          <w:tcPr>
            <w:tcW w:w="3240" w:type="pct"/>
            <w:tcBorders>
              <w:top w:val="single" w:color="000000" w:sz="4" w:space="0"/>
              <w:left w:val="nil"/>
              <w:bottom w:val="single" w:color="000000" w:sz="4" w:space="0"/>
              <w:right w:val="single" w:color="000000" w:sz="4" w:space="0"/>
            </w:tcBorders>
            <w:shd w:val="clear" w:color="auto" w:fill="FFFFFF"/>
            <w:vAlign w:val="center"/>
          </w:tcPr>
          <w:p w14:paraId="037B8A4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1、射频频率范围等同或优于470～950MHz。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2、驻波比：≤2.0。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3、输入阻抗：≤50Ω。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4、指向性：≥180度指向。</w:t>
            </w:r>
          </w:p>
        </w:tc>
        <w:tc>
          <w:tcPr>
            <w:tcW w:w="2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162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BD1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5D6B2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B46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3993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电源管理器</w:t>
            </w:r>
          </w:p>
        </w:tc>
        <w:tc>
          <w:tcPr>
            <w:tcW w:w="3240" w:type="pct"/>
            <w:tcBorders>
              <w:top w:val="single" w:color="000000" w:sz="4" w:space="0"/>
              <w:left w:val="nil"/>
              <w:bottom w:val="single" w:color="000000" w:sz="4" w:space="0"/>
              <w:right w:val="single" w:color="000000" w:sz="4" w:space="0"/>
            </w:tcBorders>
            <w:shd w:val="clear" w:color="auto" w:fill="FFFFFF"/>
            <w:vAlign w:val="center"/>
          </w:tcPr>
          <w:p w14:paraId="48B3E51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2、单个通道最大负载功率≥2200W，所有通道负载总功率≥6000W。输出连接器：多用途电源插座。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3、具有≥1路USB输出接口。</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271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5F24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58061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2"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9A7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F7CE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全数字会议系统主机</w:t>
            </w:r>
          </w:p>
        </w:tc>
        <w:tc>
          <w:tcPr>
            <w:tcW w:w="3240" w:type="pct"/>
            <w:tcBorders>
              <w:top w:val="single" w:color="000000" w:sz="4" w:space="0"/>
              <w:left w:val="nil"/>
              <w:bottom w:val="single" w:color="000000" w:sz="4" w:space="0"/>
              <w:right w:val="single" w:color="000000" w:sz="4" w:space="0"/>
            </w:tcBorders>
            <w:shd w:val="clear" w:color="auto" w:fill="FFFFFF"/>
            <w:vAlign w:val="center"/>
          </w:tcPr>
          <w:p w14:paraId="3C4C7EC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1、支持≥4096台有线会议单元和≥300台无线会议单元同时接入管理使用；支持≥4396台会议单元同时参与会议议程（签到、表决、服务）以及发言控制。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★2、主机兼容同时连接有线与无线会议单元，二者可并行使用；采用跨域音频同步技术，有线与无线会议单元音频的音频无缝混音输出。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3、设备采用分段压缩混音处理技术和时钟同步传输技术，会议单元拾音到主机输出延时≤5ms。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具有≥16路音频输出通道，通过扩展可实现≥272个音频输出通道，音频输出通道可配置为有线角色分离输出模式、无线角色分离输出模式、同传输出模式；每个音频输出通道都能独立调节音频参数，包括≥30级音量调节、≥10段均衡器调节、≥100级延时器调节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5、主机具有≥16通道音频分组输出接口；采用会议分区相控技术，可拆分≥16个独立的会议系统使用，也可以组成一个大型的会议系统使用，实现多种方式的会议室合并/拆分。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具有C/S、B/S管控架构，包括客户端、WEB端、本机全彩触摸屏、安卓手机/平板控制方式；通过客户端、WEB端可调节音频矩阵参数（包括EQ、音量、延时器、会议单元灵敏度）、≥16通道输出模式切换、开关会议单元、中英俄法四种语言切换、控制角色分离主机功能；使用本机全彩触摸屏可调节会议模式、有线/无线会议单元开麦数量、编ID、主机/从机设置、中英俄法四种语言切换、显示亮度/输出音量调节、显示剩余使用天数、输入注册码进行主机注册功能；使用安卓手机/平板可控制会议单元开关、开启签到、投票、表决、接收会议服务信息、一键关闭无线会议单元功能，免PC操作。（提供第三方权威检测机构出具的带有CMA或CNAS标识的检测报告佐证参数真实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具有C/S、B/S架构管理软件，客户端、WEB端软件均可运行的操作系统版本≥8种，包括Windows7/10/11、银河麒麟桌面操作系统（兆芯版）、银河麒麟桌面操作系统（飞腾版）、macOS系统、统信UOS、Ubuntu桌面版操作系统。（提供第三方权威检测机构出具的带有CMA或CNAS标识的检测报告佐证参数真实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支持搭配会议话筒处理器使用，主机与话筒处理器之间通过网线连接方式传输音频，可以同时传输≥16路有线会议单元和≥8路无线会议单元发言的音频信号，并提供反馈抑制、智能混音以及自动增益音频调节处理功能。</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5496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E42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1D051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4D28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E2C73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会议话筒处理器</w:t>
            </w:r>
          </w:p>
        </w:tc>
        <w:tc>
          <w:tcPr>
            <w:tcW w:w="3240" w:type="pct"/>
            <w:tcBorders>
              <w:top w:val="single" w:color="000000" w:sz="4" w:space="0"/>
              <w:left w:val="nil"/>
              <w:bottom w:val="single" w:color="000000" w:sz="4" w:space="0"/>
              <w:right w:val="single" w:color="000000" w:sz="4" w:space="0"/>
            </w:tcBorders>
            <w:shd w:val="clear" w:color="auto" w:fill="FFFFFF"/>
            <w:vAlign w:val="center"/>
          </w:tcPr>
          <w:p w14:paraId="54F48F8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具有智能混音、语音检测功能，可以实现≥16个有线会议单元+≥8个无线会议单元同时开启并实时检测会议单元dB值；当发言人讲话时，会议单元自动调整为发言状态，并联动摄像机自动跟踪发言人；当发言人停止讲话时，会议单元自动调整为静音状态，并联动摄像机自动切换到全景画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2、具有≥1个RS485、≥1个RS232接口，可对接摄像机实现摄像跟踪功能；内置≥64个话筒预置位，满足大型会议室摄像跟踪需求。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会议话筒处理器与数字会议主机通过网络传输链路传输会议单元音频信号，只需要通过网线即可以接收数字会议单元音频信号，并提供自动增益、自动混音、AFC反馈抑制（≥24个可编程陷波点）、EQ调节（≥31段图示均衡器调节）音频处理功能。（提供第三方权威检测机构出具的带有CMA或CNAS标识的检测报告佐证参数真实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4、采用啸叫检测门限更新法，移频+陷波组合反馈抑制方式，具有≥24个可编程陷波点，可自由分配动态/静态点，自动/手动切换。</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75C6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C4B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6C46A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7A62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3083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会议话筒（主席）</w:t>
            </w:r>
          </w:p>
        </w:tc>
        <w:tc>
          <w:tcPr>
            <w:tcW w:w="3240" w:type="pct"/>
            <w:tcBorders>
              <w:top w:val="single" w:color="000000" w:sz="4" w:space="0"/>
              <w:left w:val="nil"/>
              <w:bottom w:val="single" w:color="000000" w:sz="4" w:space="0"/>
              <w:right w:val="single" w:color="000000" w:sz="4" w:space="0"/>
            </w:tcBorders>
            <w:shd w:val="clear" w:color="auto" w:fill="FFFFFF"/>
            <w:vAlign w:val="center"/>
          </w:tcPr>
          <w:p w14:paraId="73CB840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1、采用心型指向性驻极体麦克风，内部具有DSP音频处理，没有“噗噗”的低频冲击声，内部具有反馈抑制功能，可有效地防止啸叫。</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2、采用≥128位AES加密技术，支持 WPA/WPA2 无线安全技术。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3、支持触摸按键签到功能。具备优先权功能，可关闭正在发言的所有代表话筒。具有声控功能。具有发言计时和定时发言功能。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4、具备TYPE-C口，可进行升级程序和在线充电，内置容量锂电池，电池容量≥4800mAh，可持续≥15小时发言。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5、支持后台≥5段EQ调节功能。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6、咪杆长度：≤380mm（黑色）。</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B31A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4BCE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09EB1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D77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32FE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会议话筒</w:t>
            </w:r>
          </w:p>
        </w:tc>
        <w:tc>
          <w:tcPr>
            <w:tcW w:w="3240" w:type="pct"/>
            <w:tcBorders>
              <w:top w:val="single" w:color="000000" w:sz="4" w:space="0"/>
              <w:left w:val="nil"/>
              <w:bottom w:val="single" w:color="000000" w:sz="4" w:space="0"/>
              <w:right w:val="single" w:color="000000" w:sz="4" w:space="0"/>
            </w:tcBorders>
            <w:shd w:val="clear" w:color="auto" w:fill="FFFFFF"/>
            <w:vAlign w:val="center"/>
          </w:tcPr>
          <w:p w14:paraId="08BBE57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1、采用心型指向性驻极体麦克风，要求内部具有DSP音频处理；内部具有反馈抑制功能。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2、采用≥128位AES加密技术，支持 WPA/WPA2 无线安全技术。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3、支持触摸按键签到功能。具有声控功能。具有发言计时和定时发言功能。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4、具备TYPE-C口，可进行升级程序和在线充电，内置容量锂电池，电池容量≥4800mAh，可持续≥15小时发言。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5、支持后台≥5段EQ调节功能。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6、咪杆长度：≤380mm（黑色）。</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D70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519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5F48A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BE6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31E59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会议话筒发射器</w:t>
            </w:r>
          </w:p>
        </w:tc>
        <w:tc>
          <w:tcPr>
            <w:tcW w:w="3240" w:type="pct"/>
            <w:tcBorders>
              <w:top w:val="single" w:color="000000" w:sz="4" w:space="0"/>
              <w:left w:val="nil"/>
              <w:bottom w:val="single" w:color="000000" w:sz="4" w:space="0"/>
              <w:right w:val="single" w:color="000000" w:sz="4" w:space="0"/>
            </w:tcBorders>
            <w:shd w:val="clear" w:color="auto" w:fill="FFFFFF"/>
            <w:vAlign w:val="center"/>
          </w:tcPr>
          <w:p w14:paraId="1DCFB5D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1、以太网口：≥1个10/100/1000M电口。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2、Console口：≥1个RJ45口。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3、PoE：支持802.3at/bt以太网供电标准。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4、适配器供电：12V/2A。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5、发射功率：≤20dBm。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6、可调节功率粒度：≤1dBm。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7、天线：内置矩阵式智能天线。</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37A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1714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5AAAB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37C1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41EB6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充电箱</w:t>
            </w:r>
          </w:p>
        </w:tc>
        <w:tc>
          <w:tcPr>
            <w:tcW w:w="3240" w:type="pct"/>
            <w:tcBorders>
              <w:top w:val="single" w:color="000000" w:sz="4" w:space="0"/>
              <w:left w:val="nil"/>
              <w:bottom w:val="single" w:color="000000" w:sz="4" w:space="0"/>
              <w:right w:val="single" w:color="000000" w:sz="4" w:space="0"/>
            </w:tcBorders>
            <w:shd w:val="clear" w:color="auto" w:fill="FFFFFF"/>
            <w:vAlign w:val="center"/>
          </w:tcPr>
          <w:p w14:paraId="5387663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1、充电箱具有≥10个USB接口，支持使用USB线充电，提供5V/9V供电。一端连接充电器一端连接会议单元,支持≥18W快充。支持同时插满所有USB接口。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2、根据设备的耐受电流大小充电器会自动匹配合适的电流大小给设备充电，同时有过流保护功能。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3、智能自动电路保护，所有USB插口均具有短路保护功能和自恢复功能。</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E8B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39F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0EC36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7D4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04417">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配套设施</w:t>
            </w:r>
          </w:p>
        </w:tc>
        <w:tc>
          <w:tcPr>
            <w:tcW w:w="3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492EE">
            <w:pPr>
              <w:jc w:val="left"/>
              <w:rPr>
                <w:rFonts w:hint="eastAsia" w:ascii="仿宋" w:hAnsi="仿宋" w:eastAsia="仿宋" w:cs="仿宋"/>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8FA848">
            <w:pPr>
              <w:jc w:val="center"/>
              <w:rPr>
                <w:rFonts w:hint="eastAsia" w:ascii="仿宋" w:hAnsi="仿宋" w:eastAsia="仿宋" w:cs="仿宋"/>
                <w:b/>
                <w:bCs/>
                <w:i w:val="0"/>
                <w:iCs w:val="0"/>
                <w:color w:val="000000"/>
                <w:sz w:val="21"/>
                <w:szCs w:val="21"/>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D0005B">
            <w:pPr>
              <w:jc w:val="center"/>
              <w:rPr>
                <w:rFonts w:hint="eastAsia" w:ascii="仿宋" w:hAnsi="仿宋" w:eastAsia="仿宋" w:cs="仿宋"/>
                <w:b/>
                <w:bCs/>
                <w:i w:val="0"/>
                <w:iCs w:val="0"/>
                <w:color w:val="000000"/>
                <w:sz w:val="21"/>
                <w:szCs w:val="21"/>
                <w:u w:val="none"/>
              </w:rPr>
            </w:pPr>
          </w:p>
        </w:tc>
      </w:tr>
      <w:tr w14:paraId="4CE4A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836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2750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会议专用机柜</w:t>
            </w:r>
          </w:p>
        </w:tc>
        <w:tc>
          <w:tcPr>
            <w:tcW w:w="3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9EAF2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600mm*600mm*1000mm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D6F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340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4C0C1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00C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545C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交换机</w:t>
            </w:r>
          </w:p>
        </w:tc>
        <w:tc>
          <w:tcPr>
            <w:tcW w:w="3240" w:type="pct"/>
            <w:tcBorders>
              <w:top w:val="single" w:color="000000" w:sz="4" w:space="0"/>
              <w:left w:val="nil"/>
              <w:bottom w:val="single" w:color="000000" w:sz="4" w:space="0"/>
              <w:right w:val="single" w:color="000000" w:sz="4" w:space="0"/>
            </w:tcBorders>
            <w:shd w:val="clear" w:color="auto" w:fill="FFFFFF"/>
            <w:vAlign w:val="center"/>
          </w:tcPr>
          <w:p w14:paraId="130DA04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9口百兆POE交换机</w:t>
            </w:r>
          </w:p>
        </w:tc>
        <w:tc>
          <w:tcPr>
            <w:tcW w:w="290" w:type="pct"/>
            <w:tcBorders>
              <w:top w:val="nil"/>
              <w:left w:val="single" w:color="000000" w:sz="4" w:space="0"/>
              <w:bottom w:val="single" w:color="000000" w:sz="4" w:space="0"/>
              <w:right w:val="single" w:color="000000" w:sz="4" w:space="0"/>
            </w:tcBorders>
            <w:shd w:val="clear" w:color="auto" w:fill="FFFFFF"/>
            <w:vAlign w:val="center"/>
          </w:tcPr>
          <w:p w14:paraId="2EEA09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2705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64531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F8F4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4082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电源线1</w:t>
            </w:r>
          </w:p>
        </w:tc>
        <w:tc>
          <w:tcPr>
            <w:tcW w:w="3240" w:type="pct"/>
            <w:tcBorders>
              <w:top w:val="single" w:color="000000" w:sz="4" w:space="0"/>
              <w:left w:val="nil"/>
              <w:bottom w:val="single" w:color="000000" w:sz="4" w:space="0"/>
              <w:right w:val="single" w:color="000000" w:sz="4" w:space="0"/>
            </w:tcBorders>
            <w:shd w:val="clear" w:color="auto" w:fill="FFFFFF"/>
            <w:vAlign w:val="center"/>
          </w:tcPr>
          <w:p w14:paraId="29767AB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RVV 2*1.5</w:t>
            </w:r>
          </w:p>
        </w:tc>
        <w:tc>
          <w:tcPr>
            <w:tcW w:w="290" w:type="pct"/>
            <w:tcBorders>
              <w:top w:val="nil"/>
              <w:left w:val="single" w:color="000000" w:sz="4" w:space="0"/>
              <w:bottom w:val="single" w:color="000000" w:sz="4" w:space="0"/>
              <w:right w:val="single" w:color="000000" w:sz="4" w:space="0"/>
            </w:tcBorders>
            <w:shd w:val="clear" w:color="auto" w:fill="FFFFFF"/>
            <w:vAlign w:val="center"/>
          </w:tcPr>
          <w:p w14:paraId="67A621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30B7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r>
      <w:tr w14:paraId="74308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DA0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81A0C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电源线2</w:t>
            </w:r>
          </w:p>
        </w:tc>
        <w:tc>
          <w:tcPr>
            <w:tcW w:w="3240" w:type="pct"/>
            <w:tcBorders>
              <w:top w:val="single" w:color="000000" w:sz="4" w:space="0"/>
              <w:left w:val="nil"/>
              <w:bottom w:val="single" w:color="000000" w:sz="4" w:space="0"/>
              <w:right w:val="single" w:color="000000" w:sz="4" w:space="0"/>
            </w:tcBorders>
            <w:shd w:val="clear" w:color="auto" w:fill="FFFFFF"/>
            <w:vAlign w:val="center"/>
          </w:tcPr>
          <w:p w14:paraId="2E98F82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RVV 2*1.0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FDD6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926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r>
      <w:tr w14:paraId="036A8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3B5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AB5F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无线话筒天线进线线缆</w:t>
            </w:r>
          </w:p>
        </w:tc>
        <w:tc>
          <w:tcPr>
            <w:tcW w:w="3240" w:type="pct"/>
            <w:tcBorders>
              <w:top w:val="single" w:color="000000" w:sz="4" w:space="0"/>
              <w:left w:val="nil"/>
              <w:bottom w:val="single" w:color="000000" w:sz="4" w:space="0"/>
              <w:right w:val="single" w:color="000000" w:sz="4" w:space="0"/>
            </w:tcBorders>
            <w:shd w:val="clear" w:color="auto" w:fill="FFFFFF"/>
            <w:vAlign w:val="center"/>
          </w:tcPr>
          <w:p w14:paraId="72D4532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SYV-50-5-1</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F26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5956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r>
      <w:tr w14:paraId="2DF26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337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1ACF6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话筒线</w:t>
            </w:r>
          </w:p>
        </w:tc>
        <w:tc>
          <w:tcPr>
            <w:tcW w:w="3240" w:type="pct"/>
            <w:tcBorders>
              <w:top w:val="single" w:color="000000" w:sz="4" w:space="0"/>
              <w:left w:val="nil"/>
              <w:bottom w:val="single" w:color="000000" w:sz="4" w:space="0"/>
              <w:right w:val="single" w:color="000000" w:sz="4" w:space="0"/>
            </w:tcBorders>
            <w:shd w:val="clear" w:color="auto" w:fill="FFFFFF"/>
            <w:vAlign w:val="center"/>
          </w:tcPr>
          <w:p w14:paraId="01502F8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RVVP2*0.5</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9E3E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3C5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r>
      <w:tr w14:paraId="6140F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E7FF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F2E80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LED高清大屏进线线缆</w:t>
            </w:r>
          </w:p>
        </w:tc>
        <w:tc>
          <w:tcPr>
            <w:tcW w:w="3240" w:type="pct"/>
            <w:tcBorders>
              <w:top w:val="single" w:color="000000" w:sz="4" w:space="0"/>
              <w:left w:val="nil"/>
              <w:bottom w:val="single" w:color="000000" w:sz="4" w:space="0"/>
              <w:right w:val="single" w:color="000000" w:sz="4" w:space="0"/>
            </w:tcBorders>
            <w:shd w:val="clear" w:color="auto" w:fill="FFFFFF"/>
            <w:vAlign w:val="center"/>
          </w:tcPr>
          <w:p w14:paraId="1BD6054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RVV 3*2.5</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C03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BEB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r>
      <w:tr w14:paraId="668CC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231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073B0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LED配电柜进线线缆</w:t>
            </w:r>
          </w:p>
        </w:tc>
        <w:tc>
          <w:tcPr>
            <w:tcW w:w="3240" w:type="pct"/>
            <w:tcBorders>
              <w:top w:val="single" w:color="000000" w:sz="4" w:space="0"/>
              <w:left w:val="nil"/>
              <w:bottom w:val="single" w:color="000000" w:sz="4" w:space="0"/>
              <w:right w:val="single" w:color="000000" w:sz="4" w:space="0"/>
            </w:tcBorders>
            <w:shd w:val="clear" w:color="auto" w:fill="FFFFFF"/>
            <w:vAlign w:val="center"/>
          </w:tcPr>
          <w:p w14:paraId="184858C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YJV 5*4</w:t>
            </w:r>
          </w:p>
        </w:tc>
        <w:tc>
          <w:tcPr>
            <w:tcW w:w="290" w:type="pct"/>
            <w:tcBorders>
              <w:top w:val="nil"/>
              <w:left w:val="single" w:color="000000" w:sz="4" w:space="0"/>
              <w:bottom w:val="single" w:color="000000" w:sz="4" w:space="0"/>
              <w:right w:val="single" w:color="000000" w:sz="4" w:space="0"/>
            </w:tcBorders>
            <w:shd w:val="clear" w:color="auto" w:fill="FFFFFF"/>
            <w:vAlign w:val="center"/>
          </w:tcPr>
          <w:p w14:paraId="0D2190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E96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r>
      <w:tr w14:paraId="5A421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0A2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6BBC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机柜进线线缆</w:t>
            </w:r>
          </w:p>
        </w:tc>
        <w:tc>
          <w:tcPr>
            <w:tcW w:w="3240" w:type="pct"/>
            <w:tcBorders>
              <w:top w:val="single" w:color="000000" w:sz="4" w:space="0"/>
              <w:left w:val="nil"/>
              <w:bottom w:val="single" w:color="000000" w:sz="4" w:space="0"/>
              <w:right w:val="single" w:color="000000" w:sz="4" w:space="0"/>
            </w:tcBorders>
            <w:shd w:val="clear" w:color="auto" w:fill="FFFFFF"/>
            <w:vAlign w:val="center"/>
          </w:tcPr>
          <w:p w14:paraId="413520C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RVV 3*4</w:t>
            </w:r>
          </w:p>
        </w:tc>
        <w:tc>
          <w:tcPr>
            <w:tcW w:w="290" w:type="pct"/>
            <w:tcBorders>
              <w:top w:val="nil"/>
              <w:left w:val="single" w:color="000000" w:sz="4" w:space="0"/>
              <w:bottom w:val="single" w:color="000000" w:sz="4" w:space="0"/>
              <w:right w:val="single" w:color="000000" w:sz="4" w:space="0"/>
            </w:tcBorders>
            <w:shd w:val="clear" w:color="auto" w:fill="FFFFFF"/>
            <w:vAlign w:val="center"/>
          </w:tcPr>
          <w:p w14:paraId="405C39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CCBF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r>
      <w:tr w14:paraId="4D4B1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DC8A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01A7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音箱线缆</w:t>
            </w:r>
          </w:p>
        </w:tc>
        <w:tc>
          <w:tcPr>
            <w:tcW w:w="3240" w:type="pct"/>
            <w:tcBorders>
              <w:top w:val="single" w:color="000000" w:sz="4" w:space="0"/>
              <w:left w:val="nil"/>
              <w:bottom w:val="single" w:color="000000" w:sz="4" w:space="0"/>
              <w:right w:val="single" w:color="000000" w:sz="4" w:space="0"/>
            </w:tcBorders>
            <w:shd w:val="clear" w:color="auto" w:fill="FFFFFF"/>
            <w:vAlign w:val="center"/>
          </w:tcPr>
          <w:p w14:paraId="3822C8D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315 芯音响线</w:t>
            </w:r>
          </w:p>
        </w:tc>
        <w:tc>
          <w:tcPr>
            <w:tcW w:w="290" w:type="pct"/>
            <w:tcBorders>
              <w:top w:val="nil"/>
              <w:left w:val="single" w:color="000000" w:sz="4" w:space="0"/>
              <w:bottom w:val="single" w:color="000000" w:sz="4" w:space="0"/>
              <w:right w:val="single" w:color="000000" w:sz="4" w:space="0"/>
            </w:tcBorders>
            <w:shd w:val="clear" w:color="auto" w:fill="FFFFFF"/>
            <w:vAlign w:val="center"/>
          </w:tcPr>
          <w:p w14:paraId="6BAEFB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717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r>
      <w:tr w14:paraId="6BA43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485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0A84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网线</w:t>
            </w:r>
          </w:p>
        </w:tc>
        <w:tc>
          <w:tcPr>
            <w:tcW w:w="3240" w:type="pct"/>
            <w:tcBorders>
              <w:top w:val="single" w:color="000000" w:sz="4" w:space="0"/>
              <w:left w:val="nil"/>
              <w:bottom w:val="single" w:color="000000" w:sz="4" w:space="0"/>
              <w:right w:val="single" w:color="000000" w:sz="4" w:space="0"/>
            </w:tcBorders>
            <w:shd w:val="clear" w:color="auto" w:fill="FFFFFF"/>
            <w:vAlign w:val="center"/>
          </w:tcPr>
          <w:p w14:paraId="0765842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六类非屏蔽</w:t>
            </w:r>
          </w:p>
        </w:tc>
        <w:tc>
          <w:tcPr>
            <w:tcW w:w="290" w:type="pct"/>
            <w:tcBorders>
              <w:top w:val="nil"/>
              <w:left w:val="single" w:color="000000" w:sz="4" w:space="0"/>
              <w:bottom w:val="single" w:color="000000" w:sz="4" w:space="0"/>
              <w:right w:val="single" w:color="000000" w:sz="4" w:space="0"/>
            </w:tcBorders>
            <w:shd w:val="clear" w:color="auto" w:fill="FFFFFF"/>
            <w:vAlign w:val="center"/>
          </w:tcPr>
          <w:p w14:paraId="7106DD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260E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箱</w:t>
            </w:r>
          </w:p>
        </w:tc>
      </w:tr>
      <w:tr w14:paraId="6A751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B353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41DB6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HDMI高清线</w:t>
            </w:r>
          </w:p>
        </w:tc>
        <w:tc>
          <w:tcPr>
            <w:tcW w:w="3240" w:type="pct"/>
            <w:tcBorders>
              <w:top w:val="single" w:color="000000" w:sz="4" w:space="0"/>
              <w:left w:val="nil"/>
              <w:bottom w:val="single" w:color="000000" w:sz="4" w:space="0"/>
              <w:right w:val="single" w:color="000000" w:sz="4" w:space="0"/>
            </w:tcBorders>
            <w:shd w:val="clear" w:color="auto" w:fill="FFFFFF"/>
            <w:vAlign w:val="center"/>
          </w:tcPr>
          <w:p w14:paraId="7FD8A4D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35米</w:t>
            </w:r>
          </w:p>
        </w:tc>
        <w:tc>
          <w:tcPr>
            <w:tcW w:w="290" w:type="pct"/>
            <w:tcBorders>
              <w:top w:val="nil"/>
              <w:left w:val="single" w:color="000000" w:sz="4" w:space="0"/>
              <w:bottom w:val="single" w:color="000000" w:sz="4" w:space="0"/>
              <w:right w:val="single" w:color="000000" w:sz="4" w:space="0"/>
            </w:tcBorders>
            <w:shd w:val="clear" w:color="auto" w:fill="FFFFFF"/>
            <w:vAlign w:val="center"/>
          </w:tcPr>
          <w:p w14:paraId="2CC74C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9DA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r>
      <w:tr w14:paraId="2F3C3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24AF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E36F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零星辅材</w:t>
            </w:r>
          </w:p>
        </w:tc>
        <w:tc>
          <w:tcPr>
            <w:tcW w:w="3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9514D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含机柜内跳线、水晶头、排插、空开、音视频接口、PVC管、金属线槽、音视频面板等辅材配件</w:t>
            </w:r>
          </w:p>
        </w:tc>
        <w:tc>
          <w:tcPr>
            <w:tcW w:w="290" w:type="pct"/>
            <w:tcBorders>
              <w:top w:val="nil"/>
              <w:left w:val="single" w:color="000000" w:sz="4" w:space="0"/>
              <w:bottom w:val="single" w:color="000000" w:sz="4" w:space="0"/>
              <w:right w:val="single" w:color="000000" w:sz="4" w:space="0"/>
            </w:tcBorders>
            <w:shd w:val="clear" w:color="auto" w:fill="FFFFFF"/>
            <w:vAlign w:val="center"/>
          </w:tcPr>
          <w:p w14:paraId="5CE298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BBD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r>
      <w:tr w14:paraId="2AA27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9306F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四</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9EC723">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系统集成</w:t>
            </w:r>
          </w:p>
        </w:tc>
        <w:tc>
          <w:tcPr>
            <w:tcW w:w="3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A0070">
            <w:pPr>
              <w:jc w:val="left"/>
              <w:rPr>
                <w:rFonts w:hint="eastAsia" w:ascii="仿宋" w:hAnsi="仿宋" w:eastAsia="仿宋" w:cs="仿宋"/>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B1FC8C">
            <w:pPr>
              <w:jc w:val="center"/>
              <w:rPr>
                <w:rFonts w:hint="eastAsia" w:ascii="仿宋" w:hAnsi="仿宋" w:eastAsia="仿宋" w:cs="仿宋"/>
                <w:i w:val="0"/>
                <w:iCs w:val="0"/>
                <w:color w:val="000000"/>
                <w:sz w:val="21"/>
                <w:szCs w:val="21"/>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6860F">
            <w:pPr>
              <w:jc w:val="center"/>
              <w:rPr>
                <w:rFonts w:hint="eastAsia" w:ascii="仿宋" w:hAnsi="仿宋" w:eastAsia="仿宋" w:cs="仿宋"/>
                <w:i w:val="0"/>
                <w:iCs w:val="0"/>
                <w:color w:val="000000"/>
                <w:sz w:val="21"/>
                <w:szCs w:val="21"/>
                <w:u w:val="none"/>
              </w:rPr>
            </w:pPr>
          </w:p>
        </w:tc>
      </w:tr>
      <w:tr w14:paraId="426AB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788B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DAD0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系统集成</w:t>
            </w:r>
          </w:p>
        </w:tc>
        <w:tc>
          <w:tcPr>
            <w:tcW w:w="32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41DE1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系统集成实施、安装、调试及培训</w:t>
            </w:r>
          </w:p>
        </w:tc>
        <w:tc>
          <w:tcPr>
            <w:tcW w:w="290" w:type="pct"/>
            <w:tcBorders>
              <w:top w:val="nil"/>
              <w:left w:val="single" w:color="000000" w:sz="4" w:space="0"/>
              <w:bottom w:val="single" w:color="000000" w:sz="4" w:space="0"/>
              <w:right w:val="single" w:color="000000" w:sz="4" w:space="0"/>
            </w:tcBorders>
            <w:shd w:val="clear" w:color="auto" w:fill="FFFFFF"/>
            <w:vAlign w:val="center"/>
          </w:tcPr>
          <w:p w14:paraId="74E9D9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6C3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r>
    </w:tbl>
    <w:p w14:paraId="1EDC2812">
      <w:pPr>
        <w:pStyle w:val="15"/>
        <w:spacing w:before="0" w:beforeAutospacing="0" w:after="0" w:afterAutospacing="0" w:line="560" w:lineRule="exact"/>
        <w:ind w:firstLine="480" w:firstLineChars="200"/>
        <w:jc w:val="both"/>
        <w:rPr>
          <w:rFonts w:hint="eastAsia" w:ascii="Times New Roman" w:hAnsi="Times New Roman" w:eastAsia="仿宋"/>
          <w:color w:val="000000"/>
        </w:rPr>
      </w:pPr>
    </w:p>
    <w:p w14:paraId="2AB7D33D">
      <w:pPr>
        <w:rPr>
          <w:rFonts w:hint="eastAsia" w:ascii="Times New Roman" w:hAnsi="Times New Roman" w:eastAsia="仿宋"/>
          <w:color w:val="000000"/>
        </w:rPr>
      </w:pPr>
      <w:r>
        <w:rPr>
          <w:rFonts w:hint="eastAsia" w:ascii="Times New Roman" w:hAnsi="Times New Roman" w:eastAsia="仿宋"/>
          <w:color w:val="000000"/>
        </w:rPr>
        <w:br w:type="page"/>
      </w:r>
    </w:p>
    <w:p w14:paraId="1BAD0710">
      <w:pPr>
        <w:numPr>
          <w:ilvl w:val="0"/>
          <w:numId w:val="9"/>
        </w:numPr>
        <w:jc w:val="center"/>
        <w:outlineLvl w:val="0"/>
        <w:rPr>
          <w:rFonts w:ascii="Times New Roman" w:hAnsi="Times New Roman" w:eastAsia="仿宋"/>
          <w:sz w:val="44"/>
          <w:szCs w:val="44"/>
        </w:rPr>
      </w:pPr>
      <w:bookmarkStart w:id="165" w:name="_Toc23672"/>
      <w:bookmarkStart w:id="166" w:name="_Toc24384"/>
      <w:bookmarkStart w:id="167" w:name="_Toc12858"/>
      <w:r>
        <w:rPr>
          <w:rFonts w:hint="eastAsia" w:ascii="Times New Roman" w:hAnsi="Times New Roman" w:eastAsia="仿宋" w:cs="Arial"/>
          <w:b/>
          <w:bCs/>
          <w:kern w:val="2"/>
          <w:sz w:val="44"/>
          <w:szCs w:val="44"/>
        </w:rPr>
        <w:t>参选文件的编制</w:t>
      </w:r>
      <w:bookmarkEnd w:id="154"/>
      <w:bookmarkEnd w:id="155"/>
      <w:bookmarkEnd w:id="156"/>
      <w:bookmarkEnd w:id="157"/>
      <w:bookmarkEnd w:id="158"/>
      <w:bookmarkEnd w:id="159"/>
      <w:bookmarkEnd w:id="160"/>
      <w:bookmarkEnd w:id="161"/>
      <w:bookmarkEnd w:id="162"/>
      <w:bookmarkEnd w:id="163"/>
      <w:bookmarkEnd w:id="165"/>
      <w:bookmarkEnd w:id="166"/>
      <w:bookmarkEnd w:id="167"/>
    </w:p>
    <w:p w14:paraId="74DB84D6">
      <w:pPr>
        <w:spacing w:line="560" w:lineRule="exact"/>
        <w:ind w:left="720"/>
        <w:rPr>
          <w:rFonts w:ascii="Times New Roman" w:hAnsi="Times New Roman"/>
          <w:b/>
          <w:sz w:val="28"/>
          <w:szCs w:val="28"/>
        </w:rPr>
      </w:pPr>
    </w:p>
    <w:p w14:paraId="5FFAF1FB">
      <w:pPr>
        <w:pStyle w:val="5"/>
        <w:widowControl/>
        <w:spacing w:before="0" w:after="0" w:line="560" w:lineRule="exact"/>
        <w:ind w:left="576"/>
        <w:jc w:val="left"/>
        <w:rPr>
          <w:rFonts w:ascii="Times New Roman" w:hAnsi="Times New Roman" w:eastAsia="仿宋"/>
        </w:rPr>
      </w:pPr>
      <w:bookmarkStart w:id="168" w:name="_Toc17944"/>
      <w:bookmarkStart w:id="169" w:name="_Toc3194"/>
      <w:bookmarkStart w:id="170" w:name="_Toc27465"/>
      <w:bookmarkStart w:id="171" w:name="_Toc16856"/>
      <w:bookmarkStart w:id="172" w:name="_Toc10055"/>
      <w:bookmarkStart w:id="173" w:name="_Toc30198"/>
      <w:bookmarkStart w:id="174" w:name="_Toc26949"/>
      <w:bookmarkStart w:id="175" w:name="_Toc11780"/>
      <w:bookmarkStart w:id="176" w:name="_Toc91421103"/>
      <w:bookmarkStart w:id="177" w:name="_Toc29843"/>
      <w:bookmarkStart w:id="178" w:name="_Toc26836"/>
      <w:bookmarkStart w:id="179" w:name="_Toc12013"/>
      <w:r>
        <w:rPr>
          <w:rFonts w:hint="eastAsia" w:ascii="Times New Roman" w:hAnsi="Times New Roman" w:eastAsia="仿宋"/>
        </w:rPr>
        <w:t>一、参选文件的组成</w:t>
      </w:r>
      <w:bookmarkEnd w:id="168"/>
      <w:bookmarkEnd w:id="169"/>
      <w:bookmarkEnd w:id="170"/>
      <w:bookmarkEnd w:id="171"/>
      <w:bookmarkEnd w:id="172"/>
      <w:bookmarkEnd w:id="173"/>
      <w:bookmarkEnd w:id="174"/>
      <w:bookmarkEnd w:id="175"/>
      <w:bookmarkEnd w:id="176"/>
      <w:bookmarkEnd w:id="177"/>
      <w:bookmarkEnd w:id="178"/>
      <w:bookmarkEnd w:id="179"/>
    </w:p>
    <w:p w14:paraId="6B32484B">
      <w:pPr>
        <w:pStyle w:val="21"/>
        <w:numPr>
          <w:ilvl w:val="0"/>
          <w:numId w:val="10"/>
        </w:numPr>
        <w:spacing w:line="560" w:lineRule="exact"/>
        <w:ind w:firstLine="480"/>
        <w:rPr>
          <w:rFonts w:ascii="Times New Roman" w:hAnsi="Times New Roman" w:eastAsia="仿宋"/>
          <w:sz w:val="24"/>
          <w:szCs w:val="24"/>
        </w:rPr>
      </w:pPr>
      <w:r>
        <w:rPr>
          <w:rFonts w:hint="eastAsia" w:ascii="Times New Roman" w:hAnsi="Times New Roman" w:eastAsia="仿宋"/>
          <w:sz w:val="24"/>
          <w:szCs w:val="24"/>
        </w:rPr>
        <w:t>参选报价单</w:t>
      </w:r>
    </w:p>
    <w:p w14:paraId="7B1BCBC0">
      <w:pPr>
        <w:pStyle w:val="21"/>
        <w:numPr>
          <w:ilvl w:val="0"/>
          <w:numId w:val="10"/>
        </w:numPr>
        <w:spacing w:line="560" w:lineRule="exact"/>
        <w:ind w:firstLine="480"/>
        <w:rPr>
          <w:rFonts w:ascii="Times New Roman" w:hAnsi="Times New Roman" w:eastAsia="仿宋"/>
          <w:sz w:val="24"/>
          <w:szCs w:val="24"/>
        </w:rPr>
      </w:pPr>
      <w:r>
        <w:rPr>
          <w:rFonts w:hint="eastAsia" w:ascii="Times New Roman" w:hAnsi="Times New Roman" w:eastAsia="仿宋"/>
          <w:sz w:val="24"/>
          <w:szCs w:val="24"/>
        </w:rPr>
        <w:t>法定代表人授权委托书</w:t>
      </w:r>
    </w:p>
    <w:p w14:paraId="1B2ED77D">
      <w:pPr>
        <w:pStyle w:val="21"/>
        <w:numPr>
          <w:ilvl w:val="0"/>
          <w:numId w:val="10"/>
        </w:numPr>
        <w:spacing w:line="560" w:lineRule="exact"/>
        <w:ind w:firstLine="480"/>
        <w:rPr>
          <w:rFonts w:ascii="Times New Roman" w:hAnsi="Times New Roman" w:eastAsia="仿宋"/>
          <w:sz w:val="24"/>
          <w:szCs w:val="24"/>
        </w:rPr>
      </w:pPr>
      <w:r>
        <w:rPr>
          <w:rFonts w:hint="eastAsia" w:ascii="Times New Roman" w:hAnsi="Times New Roman" w:eastAsia="仿宋"/>
          <w:sz w:val="24"/>
          <w:szCs w:val="24"/>
        </w:rPr>
        <w:t>承诺函</w:t>
      </w:r>
    </w:p>
    <w:p w14:paraId="6ECCC7DE">
      <w:pPr>
        <w:pStyle w:val="21"/>
        <w:numPr>
          <w:ilvl w:val="0"/>
          <w:numId w:val="10"/>
        </w:numPr>
        <w:spacing w:line="560" w:lineRule="exact"/>
        <w:ind w:firstLine="480"/>
        <w:rPr>
          <w:rFonts w:ascii="Times New Roman" w:hAnsi="Times New Roman" w:eastAsia="仿宋"/>
          <w:sz w:val="24"/>
          <w:szCs w:val="24"/>
        </w:rPr>
      </w:pPr>
      <w:r>
        <w:rPr>
          <w:rFonts w:hint="eastAsia" w:ascii="Times New Roman" w:hAnsi="Times New Roman" w:eastAsia="仿宋"/>
          <w:sz w:val="24"/>
          <w:szCs w:val="24"/>
        </w:rPr>
        <w:t>参选函</w:t>
      </w:r>
    </w:p>
    <w:p w14:paraId="66B50866">
      <w:pPr>
        <w:pStyle w:val="21"/>
        <w:numPr>
          <w:ilvl w:val="0"/>
          <w:numId w:val="10"/>
        </w:numPr>
        <w:spacing w:line="560" w:lineRule="exact"/>
        <w:ind w:firstLine="480"/>
        <w:rPr>
          <w:rFonts w:ascii="Times New Roman" w:hAnsi="Times New Roman" w:eastAsia="仿宋"/>
          <w:sz w:val="24"/>
          <w:szCs w:val="24"/>
        </w:rPr>
      </w:pPr>
      <w:r>
        <w:rPr>
          <w:rFonts w:hint="eastAsia" w:ascii="Times New Roman" w:hAnsi="Times New Roman" w:eastAsia="仿宋"/>
          <w:sz w:val="24"/>
          <w:szCs w:val="24"/>
        </w:rPr>
        <w:t>资格证明文件</w:t>
      </w:r>
    </w:p>
    <w:p w14:paraId="196EEF34">
      <w:pPr>
        <w:pStyle w:val="21"/>
        <w:numPr>
          <w:ilvl w:val="0"/>
          <w:numId w:val="10"/>
        </w:numPr>
        <w:spacing w:line="560" w:lineRule="exact"/>
        <w:ind w:firstLine="480"/>
        <w:rPr>
          <w:rFonts w:ascii="Times New Roman" w:hAnsi="Times New Roman" w:eastAsia="仿宋"/>
          <w:sz w:val="24"/>
          <w:szCs w:val="24"/>
        </w:rPr>
      </w:pPr>
      <w:r>
        <w:rPr>
          <w:rFonts w:hint="eastAsia" w:ascii="Times New Roman" w:hAnsi="Times New Roman" w:eastAsia="仿宋"/>
          <w:sz w:val="24"/>
          <w:szCs w:val="24"/>
        </w:rPr>
        <w:t>技术方案</w:t>
      </w:r>
    </w:p>
    <w:p w14:paraId="0C8670C0">
      <w:pPr>
        <w:pStyle w:val="21"/>
        <w:numPr>
          <w:ilvl w:val="0"/>
          <w:numId w:val="10"/>
        </w:numPr>
        <w:spacing w:line="560" w:lineRule="exact"/>
        <w:ind w:firstLine="480"/>
        <w:rPr>
          <w:rFonts w:ascii="Times New Roman" w:hAnsi="Times New Roman" w:eastAsia="仿宋"/>
          <w:sz w:val="24"/>
          <w:szCs w:val="24"/>
        </w:rPr>
      </w:pPr>
      <w:r>
        <w:rPr>
          <w:rFonts w:hint="eastAsia" w:ascii="Times New Roman" w:hAnsi="Times New Roman" w:eastAsia="仿宋"/>
          <w:sz w:val="24"/>
          <w:szCs w:val="24"/>
        </w:rPr>
        <w:t>比选文件要求响应偏离表</w:t>
      </w:r>
    </w:p>
    <w:p w14:paraId="4684E3E3">
      <w:pPr>
        <w:pStyle w:val="21"/>
        <w:numPr>
          <w:ilvl w:val="0"/>
          <w:numId w:val="10"/>
        </w:numPr>
        <w:spacing w:line="560" w:lineRule="exact"/>
        <w:ind w:firstLine="480"/>
        <w:rPr>
          <w:rFonts w:hint="eastAsia" w:ascii="Times New Roman" w:hAnsi="Times New Roman" w:eastAsia="仿宋"/>
          <w:sz w:val="24"/>
          <w:szCs w:val="24"/>
        </w:rPr>
      </w:pPr>
      <w:r>
        <w:rPr>
          <w:rFonts w:hint="eastAsia" w:ascii="Times New Roman" w:hAnsi="Times New Roman" w:eastAsia="仿宋"/>
          <w:sz w:val="24"/>
          <w:szCs w:val="24"/>
        </w:rPr>
        <w:t>商务评分标准对照情况点对点应答表</w:t>
      </w:r>
    </w:p>
    <w:p w14:paraId="1D7793EB">
      <w:pPr>
        <w:pStyle w:val="21"/>
        <w:numPr>
          <w:ilvl w:val="0"/>
          <w:numId w:val="10"/>
        </w:numPr>
        <w:spacing w:line="560" w:lineRule="exact"/>
        <w:ind w:firstLine="480"/>
        <w:rPr>
          <w:rFonts w:hint="eastAsia" w:ascii="Times New Roman" w:hAnsi="Times New Roman" w:eastAsia="仿宋"/>
          <w:sz w:val="24"/>
          <w:szCs w:val="24"/>
        </w:rPr>
      </w:pPr>
      <w:r>
        <w:rPr>
          <w:rFonts w:hint="eastAsia" w:ascii="Times New Roman" w:hAnsi="Times New Roman" w:eastAsia="仿宋"/>
          <w:sz w:val="24"/>
          <w:szCs w:val="24"/>
        </w:rPr>
        <w:t>技术评分标准对照情况点对点应答表</w:t>
      </w:r>
    </w:p>
    <w:p w14:paraId="4D43E4CE">
      <w:pPr>
        <w:pStyle w:val="21"/>
        <w:numPr>
          <w:ilvl w:val="0"/>
          <w:numId w:val="10"/>
        </w:numPr>
        <w:spacing w:line="560" w:lineRule="exact"/>
        <w:ind w:firstLine="480"/>
        <w:rPr>
          <w:rFonts w:ascii="Times New Roman" w:hAnsi="Times New Roman" w:eastAsia="仿宋"/>
          <w:sz w:val="24"/>
          <w:szCs w:val="24"/>
        </w:rPr>
      </w:pPr>
      <w:r>
        <w:rPr>
          <w:rFonts w:hint="eastAsia" w:ascii="Times New Roman" w:hAnsi="Times New Roman" w:eastAsia="仿宋"/>
          <w:sz w:val="24"/>
          <w:szCs w:val="24"/>
        </w:rPr>
        <w:t>其他技术及商务证明材料</w:t>
      </w:r>
    </w:p>
    <w:p w14:paraId="7CB7475B">
      <w:pPr>
        <w:pStyle w:val="21"/>
        <w:numPr>
          <w:ilvl w:val="0"/>
          <w:numId w:val="10"/>
        </w:numPr>
        <w:spacing w:line="560" w:lineRule="exact"/>
        <w:ind w:firstLine="480"/>
        <w:rPr>
          <w:rFonts w:ascii="Times New Roman" w:hAnsi="Times New Roman" w:eastAsia="仿宋"/>
          <w:sz w:val="24"/>
          <w:szCs w:val="24"/>
        </w:rPr>
      </w:pPr>
      <w:r>
        <w:rPr>
          <w:rFonts w:hint="eastAsia" w:ascii="Times New Roman" w:hAnsi="Times New Roman" w:eastAsia="仿宋"/>
          <w:sz w:val="24"/>
          <w:szCs w:val="24"/>
        </w:rPr>
        <w:t>以上第1至</w:t>
      </w:r>
      <w:r>
        <w:rPr>
          <w:rFonts w:ascii="Times New Roman" w:hAnsi="Times New Roman" w:eastAsia="仿宋"/>
          <w:sz w:val="24"/>
          <w:szCs w:val="24"/>
        </w:rPr>
        <w:t>1</w:t>
      </w:r>
      <w:r>
        <w:rPr>
          <w:rFonts w:hint="eastAsia" w:ascii="Times New Roman" w:hAnsi="Times New Roman" w:eastAsia="仿宋"/>
          <w:sz w:val="24"/>
          <w:szCs w:val="24"/>
          <w:lang w:val="en-US" w:eastAsia="zh-CN"/>
        </w:rPr>
        <w:t>0</w:t>
      </w:r>
      <w:r>
        <w:rPr>
          <w:rFonts w:hint="eastAsia" w:ascii="Times New Roman" w:hAnsi="Times New Roman" w:eastAsia="仿宋"/>
          <w:sz w:val="24"/>
          <w:szCs w:val="24"/>
        </w:rPr>
        <w:t>项应合并为一份完整材料，均须加盖公章。参选资料密封后的封面上要明确注明项目名称、参选人单位名称，并加盖公章。</w:t>
      </w:r>
    </w:p>
    <w:p w14:paraId="28296CF3">
      <w:pPr>
        <w:pStyle w:val="5"/>
        <w:widowControl/>
        <w:spacing w:before="0" w:after="0" w:line="560" w:lineRule="exact"/>
        <w:ind w:left="576"/>
        <w:jc w:val="left"/>
        <w:rPr>
          <w:rFonts w:ascii="Times New Roman" w:hAnsi="Times New Roman" w:eastAsia="仿宋"/>
        </w:rPr>
      </w:pPr>
      <w:bookmarkStart w:id="180" w:name="_Toc28835"/>
      <w:bookmarkStart w:id="181" w:name="_Toc30101"/>
      <w:bookmarkStart w:id="182" w:name="_Toc10449"/>
      <w:bookmarkStart w:id="183" w:name="_Toc29197"/>
      <w:bookmarkStart w:id="184" w:name="_Toc18901"/>
      <w:bookmarkStart w:id="185" w:name="_Toc14601"/>
      <w:bookmarkStart w:id="186" w:name="_Toc16406"/>
      <w:bookmarkStart w:id="187" w:name="_Toc31193"/>
      <w:bookmarkStart w:id="188" w:name="_Toc13300"/>
      <w:bookmarkStart w:id="189" w:name="_Toc91421104"/>
      <w:bookmarkStart w:id="190" w:name="_Toc13572"/>
      <w:bookmarkStart w:id="191" w:name="_Toc1720"/>
      <w:r>
        <w:rPr>
          <w:rFonts w:hint="eastAsia" w:ascii="Times New Roman" w:hAnsi="Times New Roman" w:eastAsia="仿宋"/>
        </w:rPr>
        <w:t>二、参选书格式</w:t>
      </w:r>
      <w:bookmarkEnd w:id="180"/>
      <w:bookmarkEnd w:id="181"/>
      <w:bookmarkEnd w:id="182"/>
      <w:bookmarkEnd w:id="183"/>
      <w:bookmarkEnd w:id="184"/>
      <w:bookmarkEnd w:id="185"/>
      <w:bookmarkEnd w:id="186"/>
      <w:bookmarkEnd w:id="187"/>
      <w:bookmarkEnd w:id="188"/>
      <w:bookmarkEnd w:id="189"/>
      <w:bookmarkEnd w:id="190"/>
      <w:bookmarkEnd w:id="191"/>
    </w:p>
    <w:p w14:paraId="7FD0603B">
      <w:pPr>
        <w:spacing w:line="560" w:lineRule="exact"/>
        <w:ind w:firstLine="480" w:firstLineChars="200"/>
        <w:rPr>
          <w:rFonts w:ascii="Times New Roman" w:hAnsi="Times New Roman" w:eastAsia="仿宋"/>
        </w:rPr>
      </w:pPr>
      <w:r>
        <w:rPr>
          <w:rFonts w:hint="eastAsia" w:ascii="Times New Roman" w:hAnsi="Times New Roman" w:eastAsia="仿宋"/>
        </w:rPr>
        <w:t>参选人应按规定制作参选文件并加盖公章，按规定填写参选报价单并需加盖公章，法定代表人或参选代表签字。</w:t>
      </w:r>
    </w:p>
    <w:p w14:paraId="6009A9FA">
      <w:pPr>
        <w:pStyle w:val="5"/>
        <w:widowControl/>
        <w:spacing w:before="0" w:after="0" w:line="560" w:lineRule="exact"/>
        <w:ind w:left="576"/>
        <w:jc w:val="left"/>
        <w:rPr>
          <w:rFonts w:ascii="Times New Roman" w:hAnsi="Times New Roman" w:eastAsia="仿宋"/>
        </w:rPr>
      </w:pPr>
      <w:bookmarkStart w:id="192" w:name="_Toc1418"/>
      <w:bookmarkStart w:id="193" w:name="_Toc1611"/>
      <w:bookmarkStart w:id="194" w:name="_Toc10283"/>
      <w:bookmarkStart w:id="195" w:name="_Toc3189"/>
      <w:bookmarkStart w:id="196" w:name="_Toc7145"/>
      <w:bookmarkStart w:id="197" w:name="_Toc1735"/>
      <w:bookmarkStart w:id="198" w:name="_Toc23979"/>
      <w:bookmarkStart w:id="199" w:name="_Toc91421105"/>
      <w:bookmarkStart w:id="200" w:name="_Toc14623"/>
      <w:bookmarkStart w:id="201" w:name="_Toc22861"/>
      <w:bookmarkStart w:id="202" w:name="_Toc23684"/>
      <w:bookmarkStart w:id="203" w:name="_Toc32452"/>
      <w:r>
        <w:rPr>
          <w:rFonts w:hint="eastAsia" w:ascii="Times New Roman" w:hAnsi="Times New Roman" w:eastAsia="仿宋"/>
        </w:rPr>
        <w:t>三、参选文件的式样、密封和签署</w:t>
      </w:r>
      <w:bookmarkEnd w:id="192"/>
      <w:bookmarkEnd w:id="193"/>
      <w:bookmarkEnd w:id="194"/>
      <w:bookmarkEnd w:id="195"/>
      <w:bookmarkEnd w:id="196"/>
      <w:bookmarkEnd w:id="197"/>
      <w:bookmarkEnd w:id="198"/>
      <w:bookmarkEnd w:id="199"/>
      <w:bookmarkEnd w:id="200"/>
      <w:bookmarkEnd w:id="201"/>
      <w:bookmarkEnd w:id="202"/>
      <w:bookmarkEnd w:id="203"/>
    </w:p>
    <w:p w14:paraId="63EF4E0B">
      <w:pPr>
        <w:pStyle w:val="21"/>
        <w:numPr>
          <w:ilvl w:val="0"/>
          <w:numId w:val="11"/>
        </w:numPr>
        <w:spacing w:line="560" w:lineRule="exact"/>
        <w:ind w:firstLine="480"/>
        <w:rPr>
          <w:rFonts w:ascii="Times New Roman" w:hAnsi="Times New Roman" w:eastAsia="仿宋"/>
          <w:sz w:val="24"/>
          <w:szCs w:val="24"/>
          <w:highlight w:val="none"/>
        </w:rPr>
      </w:pPr>
      <w:r>
        <w:rPr>
          <w:rFonts w:hint="eastAsia" w:ascii="Times New Roman" w:hAnsi="Times New Roman" w:eastAsia="仿宋"/>
          <w:sz w:val="24"/>
          <w:szCs w:val="24"/>
          <w:highlight w:val="none"/>
        </w:rPr>
        <w:t>参选人应准备参选文件正本一套和副本</w:t>
      </w:r>
      <w:r>
        <w:rPr>
          <w:rFonts w:hint="eastAsia" w:ascii="Times New Roman" w:hAnsi="Times New Roman" w:eastAsia="仿宋"/>
          <w:sz w:val="24"/>
          <w:szCs w:val="24"/>
          <w:highlight w:val="none"/>
          <w:lang w:val="en-US" w:eastAsia="zh-CN"/>
        </w:rPr>
        <w:t>一</w:t>
      </w:r>
      <w:r>
        <w:rPr>
          <w:rFonts w:hint="eastAsia" w:ascii="Times New Roman" w:hAnsi="Times New Roman" w:eastAsia="仿宋"/>
          <w:sz w:val="24"/>
          <w:szCs w:val="24"/>
          <w:highlight w:val="none"/>
        </w:rPr>
        <w:t>套，参选文件电子版一份，每套参选文件须清楚地标明“正本”或“副本”。若正本和副本不符，以正本为准。</w:t>
      </w:r>
    </w:p>
    <w:p w14:paraId="0404D85A">
      <w:pPr>
        <w:pStyle w:val="21"/>
        <w:numPr>
          <w:ilvl w:val="0"/>
          <w:numId w:val="11"/>
        </w:numPr>
        <w:spacing w:line="560" w:lineRule="exact"/>
        <w:ind w:firstLine="480"/>
        <w:rPr>
          <w:rFonts w:ascii="Times New Roman" w:hAnsi="Times New Roman" w:eastAsia="仿宋"/>
          <w:sz w:val="24"/>
          <w:szCs w:val="24"/>
        </w:rPr>
      </w:pPr>
      <w:r>
        <w:rPr>
          <w:rFonts w:hint="eastAsia" w:ascii="Times New Roman" w:hAnsi="Times New Roman" w:eastAsia="仿宋"/>
          <w:sz w:val="24"/>
          <w:szCs w:val="24"/>
        </w:rPr>
        <w:t>信封或外包装上应当注明比选项目名称和“在比选（比选文件中规定的日期和时点）前不得启封”的字样，封口处应密封并加盖参选人公章。</w:t>
      </w:r>
    </w:p>
    <w:p w14:paraId="32D71479">
      <w:pPr>
        <w:pStyle w:val="21"/>
        <w:numPr>
          <w:ilvl w:val="0"/>
          <w:numId w:val="11"/>
        </w:numPr>
        <w:spacing w:line="560" w:lineRule="exact"/>
        <w:ind w:firstLine="480"/>
        <w:rPr>
          <w:rFonts w:ascii="Times New Roman" w:hAnsi="Times New Roman" w:eastAsia="仿宋"/>
          <w:sz w:val="24"/>
          <w:szCs w:val="24"/>
        </w:rPr>
      </w:pPr>
      <w:r>
        <w:rPr>
          <w:rFonts w:hint="eastAsia" w:ascii="Times New Roman" w:hAnsi="Times New Roman" w:eastAsia="仿宋"/>
          <w:sz w:val="24"/>
          <w:szCs w:val="24"/>
        </w:rPr>
        <w:t>参选文件的正本应由法定代表人或参选代表在参选文件上签字并加盖参选人公章。参选代表须将以书面形式出具的“法定代表人授权委托书”附在参选文件中。</w:t>
      </w:r>
    </w:p>
    <w:p w14:paraId="62CB1D8F">
      <w:pPr>
        <w:pStyle w:val="21"/>
        <w:numPr>
          <w:ilvl w:val="0"/>
          <w:numId w:val="11"/>
        </w:numPr>
        <w:spacing w:line="560" w:lineRule="exact"/>
        <w:ind w:firstLine="480"/>
        <w:rPr>
          <w:rFonts w:ascii="Times New Roman" w:hAnsi="Times New Roman" w:eastAsia="仿宋"/>
          <w:sz w:val="24"/>
          <w:szCs w:val="24"/>
        </w:rPr>
      </w:pPr>
      <w:r>
        <w:rPr>
          <w:rFonts w:hint="eastAsia" w:ascii="Times New Roman" w:hAnsi="Times New Roman" w:eastAsia="仿宋"/>
          <w:sz w:val="24"/>
          <w:szCs w:val="24"/>
        </w:rPr>
        <w:t>任何行间插字、涂改和增删，必须由参选人法定代表人或参选代表在旁边签字才有效。</w:t>
      </w:r>
    </w:p>
    <w:p w14:paraId="21B0AA4F">
      <w:pPr>
        <w:pStyle w:val="5"/>
        <w:widowControl/>
        <w:spacing w:before="0" w:after="0" w:line="560" w:lineRule="exact"/>
        <w:ind w:left="576"/>
        <w:jc w:val="left"/>
        <w:rPr>
          <w:rFonts w:ascii="Times New Roman" w:hAnsi="Times New Roman" w:eastAsia="仿宋"/>
        </w:rPr>
      </w:pPr>
      <w:bookmarkStart w:id="204" w:name="_Toc25717"/>
      <w:bookmarkStart w:id="205" w:name="_Toc29550"/>
      <w:bookmarkStart w:id="206" w:name="_Toc31622"/>
      <w:bookmarkStart w:id="207" w:name="_Toc22929"/>
      <w:bookmarkStart w:id="208" w:name="_Toc91421106"/>
      <w:bookmarkStart w:id="209" w:name="_Toc6127"/>
      <w:bookmarkStart w:id="210" w:name="_Toc16816"/>
      <w:bookmarkStart w:id="211" w:name="_Toc32353"/>
      <w:bookmarkStart w:id="212" w:name="_Toc11714"/>
      <w:bookmarkStart w:id="213" w:name="_Toc19845"/>
      <w:bookmarkStart w:id="214" w:name="_Toc15584"/>
      <w:bookmarkStart w:id="215" w:name="_Toc26636"/>
      <w:r>
        <w:rPr>
          <w:rFonts w:hint="eastAsia" w:ascii="Times New Roman" w:hAnsi="Times New Roman" w:eastAsia="仿宋"/>
        </w:rPr>
        <w:t>四、参选报价</w:t>
      </w:r>
      <w:bookmarkEnd w:id="204"/>
      <w:bookmarkEnd w:id="205"/>
      <w:bookmarkEnd w:id="206"/>
      <w:bookmarkEnd w:id="207"/>
      <w:bookmarkEnd w:id="208"/>
      <w:bookmarkEnd w:id="209"/>
      <w:bookmarkEnd w:id="210"/>
      <w:bookmarkEnd w:id="211"/>
      <w:bookmarkEnd w:id="212"/>
      <w:bookmarkEnd w:id="213"/>
      <w:bookmarkEnd w:id="214"/>
      <w:bookmarkEnd w:id="215"/>
    </w:p>
    <w:p w14:paraId="034F547A">
      <w:pPr>
        <w:snapToGrid w:val="0"/>
        <w:spacing w:line="560" w:lineRule="exact"/>
        <w:ind w:firstLine="477" w:firstLineChars="199"/>
        <w:rPr>
          <w:rFonts w:ascii="Times New Roman" w:hAnsi="Times New Roman" w:eastAsia="仿宋"/>
          <w:highlight w:val="none"/>
        </w:rPr>
      </w:pPr>
      <w:r>
        <w:rPr>
          <w:rFonts w:hint="eastAsia" w:ascii="Times New Roman" w:hAnsi="Times New Roman" w:eastAsia="仿宋"/>
        </w:rPr>
        <w:t>参选人须按要求进行报价（报价为含税价格），对参选报价负责。参选报价应加盖参选人公章，字迹清</w:t>
      </w:r>
      <w:r>
        <w:rPr>
          <w:rFonts w:hint="eastAsia" w:ascii="Times New Roman" w:hAnsi="Times New Roman" w:eastAsia="仿宋"/>
          <w:highlight w:val="none"/>
        </w:rPr>
        <w:t>晰,否则视为无效。</w:t>
      </w:r>
    </w:p>
    <w:p w14:paraId="2B8A0542">
      <w:pPr>
        <w:snapToGrid w:val="0"/>
        <w:spacing w:line="560" w:lineRule="exact"/>
        <w:ind w:firstLine="477" w:firstLineChars="199"/>
        <w:rPr>
          <w:rFonts w:ascii="Times New Roman" w:hAnsi="Times New Roman" w:eastAsia="仿宋"/>
          <w:highlight w:val="none"/>
        </w:rPr>
      </w:pPr>
      <w:r>
        <w:rPr>
          <w:rFonts w:hint="eastAsia" w:ascii="Times New Roman" w:hAnsi="Times New Roman" w:eastAsia="仿宋"/>
          <w:highlight w:val="none"/>
        </w:rPr>
        <w:t>本项目最高限价为</w:t>
      </w:r>
      <w:r>
        <w:rPr>
          <w:rFonts w:hint="eastAsia" w:ascii="Times New Roman" w:hAnsi="Times New Roman" w:eastAsia="仿宋"/>
          <w:highlight w:val="none"/>
          <w:lang w:val="en-US" w:eastAsia="zh-CN"/>
        </w:rPr>
        <w:t>15</w:t>
      </w:r>
      <w:r>
        <w:rPr>
          <w:rFonts w:hint="eastAsia" w:ascii="Times New Roman" w:hAnsi="Times New Roman" w:eastAsia="仿宋"/>
          <w:highlight w:val="none"/>
        </w:rPr>
        <w:t>万元。参选</w:t>
      </w:r>
      <w:r>
        <w:rPr>
          <w:rFonts w:ascii="Times New Roman" w:hAnsi="Times New Roman" w:eastAsia="仿宋"/>
          <w:highlight w:val="none"/>
        </w:rPr>
        <w:t>人对本项目只允许</w:t>
      </w:r>
      <w:r>
        <w:rPr>
          <w:rFonts w:hint="eastAsia" w:ascii="Times New Roman" w:hAnsi="Times New Roman" w:eastAsia="仿宋"/>
          <w:highlight w:val="none"/>
        </w:rPr>
        <w:t>只有</w:t>
      </w:r>
      <w:r>
        <w:rPr>
          <w:rFonts w:ascii="Times New Roman" w:hAnsi="Times New Roman" w:eastAsia="仿宋"/>
          <w:highlight w:val="none"/>
        </w:rPr>
        <w:t>一个有效报价，超额报价或多个报价视为无效报价，报价为一次性不得更改的报价。</w:t>
      </w:r>
    </w:p>
    <w:p w14:paraId="6F000CA4">
      <w:pPr>
        <w:snapToGrid w:val="0"/>
        <w:spacing w:line="560" w:lineRule="exact"/>
        <w:ind w:firstLine="477" w:firstLineChars="199"/>
        <w:rPr>
          <w:rFonts w:ascii="Times New Roman" w:hAnsi="Times New Roman" w:eastAsia="仿宋"/>
        </w:rPr>
      </w:pPr>
      <w:r>
        <w:rPr>
          <w:rFonts w:hint="eastAsia" w:ascii="Times New Roman" w:hAnsi="Times New Roman" w:eastAsia="仿宋"/>
        </w:rPr>
        <w:t>参选报价所涉及的费用包括但不限于本项目技术咨询、资料、工具、调研、人员劳务、税收等所有费用。</w:t>
      </w:r>
    </w:p>
    <w:p w14:paraId="324F5ED0">
      <w:pPr>
        <w:pStyle w:val="5"/>
        <w:widowControl/>
        <w:spacing w:before="0" w:after="0" w:line="560" w:lineRule="exact"/>
        <w:ind w:left="576"/>
        <w:jc w:val="left"/>
        <w:rPr>
          <w:rFonts w:ascii="Times New Roman" w:hAnsi="Times New Roman" w:eastAsia="仿宋"/>
        </w:rPr>
      </w:pPr>
      <w:bookmarkStart w:id="216" w:name="_Toc91421107"/>
      <w:bookmarkStart w:id="217" w:name="_Toc7522"/>
      <w:bookmarkStart w:id="218" w:name="_Toc2529"/>
      <w:bookmarkStart w:id="219" w:name="_Toc9026"/>
      <w:bookmarkStart w:id="220" w:name="_Toc25260"/>
      <w:bookmarkStart w:id="221" w:name="_Toc13971"/>
      <w:bookmarkStart w:id="222" w:name="_Toc23315"/>
      <w:bookmarkStart w:id="223" w:name="_Toc23761"/>
      <w:bookmarkStart w:id="224" w:name="_Toc13008"/>
      <w:bookmarkStart w:id="225" w:name="_Toc24171"/>
      <w:bookmarkStart w:id="226" w:name="_Toc23336"/>
      <w:bookmarkStart w:id="227" w:name="_Toc6153"/>
      <w:r>
        <w:rPr>
          <w:rFonts w:hint="eastAsia" w:ascii="Times New Roman" w:hAnsi="Times New Roman" w:eastAsia="仿宋"/>
        </w:rPr>
        <w:t>五、特别说明</w:t>
      </w:r>
      <w:bookmarkEnd w:id="216"/>
      <w:bookmarkEnd w:id="217"/>
      <w:bookmarkEnd w:id="218"/>
      <w:bookmarkEnd w:id="219"/>
      <w:bookmarkEnd w:id="220"/>
      <w:bookmarkEnd w:id="221"/>
      <w:bookmarkEnd w:id="222"/>
      <w:bookmarkEnd w:id="223"/>
      <w:bookmarkEnd w:id="224"/>
      <w:bookmarkEnd w:id="225"/>
      <w:bookmarkEnd w:id="226"/>
      <w:bookmarkEnd w:id="227"/>
    </w:p>
    <w:p w14:paraId="2A08B04B">
      <w:pPr>
        <w:pStyle w:val="21"/>
        <w:numPr>
          <w:ilvl w:val="0"/>
          <w:numId w:val="12"/>
        </w:numPr>
        <w:spacing w:line="560" w:lineRule="exact"/>
        <w:ind w:firstLine="480"/>
        <w:rPr>
          <w:rFonts w:ascii="Times New Roman" w:hAnsi="Times New Roman" w:eastAsia="仿宋"/>
          <w:sz w:val="24"/>
          <w:szCs w:val="24"/>
        </w:rPr>
      </w:pPr>
      <w:r>
        <w:rPr>
          <w:rFonts w:hint="eastAsia" w:ascii="Times New Roman" w:hAnsi="Times New Roman" w:eastAsia="仿宋"/>
          <w:sz w:val="24"/>
          <w:szCs w:val="24"/>
        </w:rPr>
        <w:t>参选人应承担所有与准备和参加比选有关的费用。不论比选的结果如何，比选人均无义务和责任承担这些费用。</w:t>
      </w:r>
    </w:p>
    <w:p w14:paraId="601F0A01">
      <w:pPr>
        <w:pStyle w:val="21"/>
        <w:numPr>
          <w:ilvl w:val="0"/>
          <w:numId w:val="12"/>
        </w:numPr>
        <w:spacing w:line="560" w:lineRule="exact"/>
        <w:ind w:firstLine="480"/>
        <w:rPr>
          <w:rFonts w:ascii="Times New Roman" w:hAnsi="Times New Roman" w:eastAsia="仿宋"/>
          <w:sz w:val="24"/>
          <w:szCs w:val="24"/>
        </w:rPr>
      </w:pPr>
      <w:r>
        <w:rPr>
          <w:rFonts w:hint="eastAsia" w:ascii="Times New Roman" w:hAnsi="Times New Roman" w:eastAsia="仿宋"/>
          <w:sz w:val="24"/>
          <w:szCs w:val="24"/>
        </w:rPr>
        <w:t>参选人收到比选文件后，如有疑问需要澄清，请以书面形式在规定时间内向比选人提交。</w:t>
      </w:r>
    </w:p>
    <w:p w14:paraId="6D8B8EE5">
      <w:pPr>
        <w:pStyle w:val="21"/>
        <w:numPr>
          <w:ilvl w:val="0"/>
          <w:numId w:val="12"/>
        </w:numPr>
        <w:spacing w:line="560" w:lineRule="exact"/>
        <w:ind w:firstLine="480"/>
        <w:rPr>
          <w:rFonts w:ascii="Times New Roman" w:hAnsi="Times New Roman" w:eastAsia="仿宋"/>
          <w:sz w:val="24"/>
          <w:szCs w:val="24"/>
        </w:rPr>
      </w:pPr>
      <w:r>
        <w:rPr>
          <w:rFonts w:hint="eastAsia" w:ascii="Times New Roman" w:hAnsi="Times New Roman" w:eastAsia="仿宋"/>
          <w:sz w:val="24"/>
          <w:szCs w:val="24"/>
        </w:rPr>
        <w:t>参选人对比选人提供的比选文件所做出的推论、解释和结论，比选人概不负责。参选人由于对比选文件的任何推论和误解以及比选人对有关问题的口头解释所造成的后果，均由参选人负责。</w:t>
      </w:r>
    </w:p>
    <w:p w14:paraId="68C0FC73">
      <w:pPr>
        <w:spacing w:line="560" w:lineRule="exact"/>
        <w:rPr>
          <w:rFonts w:ascii="Times New Roman" w:hAnsi="Times New Roman" w:cs="Arial"/>
          <w:b/>
          <w:bCs/>
          <w:sz w:val="32"/>
          <w:szCs w:val="32"/>
        </w:rPr>
      </w:pPr>
      <w:bookmarkStart w:id="228" w:name="_Toc486321059"/>
      <w:r>
        <w:rPr>
          <w:rFonts w:ascii="Times New Roman" w:hAnsi="Times New Roman"/>
        </w:rPr>
        <w:br w:type="page"/>
      </w:r>
    </w:p>
    <w:p w14:paraId="2AD53E43">
      <w:pPr>
        <w:numPr>
          <w:ilvl w:val="0"/>
          <w:numId w:val="9"/>
        </w:numPr>
        <w:jc w:val="center"/>
        <w:outlineLvl w:val="0"/>
        <w:rPr>
          <w:rFonts w:hint="eastAsia" w:ascii="Times New Roman" w:hAnsi="Times New Roman" w:eastAsia="仿宋" w:cs="Arial"/>
          <w:b/>
          <w:bCs/>
          <w:kern w:val="2"/>
          <w:sz w:val="44"/>
          <w:szCs w:val="44"/>
        </w:rPr>
      </w:pPr>
      <w:bookmarkStart w:id="229" w:name="_Toc8818"/>
      <w:bookmarkStart w:id="230" w:name="_Toc14813"/>
      <w:bookmarkStart w:id="231" w:name="_Toc2672"/>
      <w:bookmarkStart w:id="232" w:name="_Toc12212"/>
      <w:bookmarkStart w:id="233" w:name="_Toc14847"/>
      <w:bookmarkStart w:id="234" w:name="_Toc4396"/>
      <w:bookmarkStart w:id="235" w:name="_Toc91421108"/>
      <w:bookmarkStart w:id="236" w:name="_Toc11976"/>
      <w:bookmarkStart w:id="237" w:name="_Toc31990"/>
      <w:bookmarkStart w:id="238" w:name="_Toc9418"/>
      <w:bookmarkStart w:id="239" w:name="_Toc31472"/>
      <w:bookmarkStart w:id="240" w:name="_Toc17335"/>
      <w:r>
        <w:rPr>
          <w:rFonts w:hint="eastAsia" w:ascii="Times New Roman" w:hAnsi="Times New Roman" w:eastAsia="仿宋" w:cs="Arial"/>
          <w:b/>
          <w:bCs/>
          <w:kern w:val="2"/>
          <w:sz w:val="44"/>
          <w:szCs w:val="44"/>
        </w:rPr>
        <w:t>评比规则</w:t>
      </w:r>
      <w:bookmarkEnd w:id="228"/>
      <w:bookmarkEnd w:id="229"/>
      <w:bookmarkEnd w:id="230"/>
      <w:bookmarkEnd w:id="231"/>
      <w:bookmarkEnd w:id="232"/>
      <w:bookmarkEnd w:id="233"/>
      <w:bookmarkEnd w:id="234"/>
      <w:bookmarkEnd w:id="235"/>
      <w:bookmarkEnd w:id="236"/>
      <w:bookmarkEnd w:id="237"/>
      <w:bookmarkEnd w:id="238"/>
      <w:bookmarkEnd w:id="239"/>
      <w:bookmarkEnd w:id="240"/>
    </w:p>
    <w:p w14:paraId="7D177CAF">
      <w:pPr>
        <w:spacing w:line="560" w:lineRule="exact"/>
        <w:jc w:val="center"/>
        <w:rPr>
          <w:rFonts w:ascii="Times New Roman" w:hAnsi="Times New Roman"/>
          <w:b/>
          <w:sz w:val="28"/>
          <w:szCs w:val="28"/>
        </w:rPr>
      </w:pPr>
    </w:p>
    <w:p w14:paraId="2986D43C">
      <w:pPr>
        <w:pStyle w:val="5"/>
        <w:widowControl/>
        <w:spacing w:before="0" w:after="0" w:line="560" w:lineRule="exact"/>
        <w:ind w:left="576"/>
        <w:jc w:val="left"/>
        <w:rPr>
          <w:rFonts w:ascii="Times New Roman" w:hAnsi="Times New Roman" w:eastAsia="仿宋"/>
        </w:rPr>
      </w:pPr>
      <w:bookmarkStart w:id="241" w:name="_Toc29353"/>
      <w:bookmarkStart w:id="242" w:name="_Toc15173"/>
      <w:bookmarkStart w:id="243" w:name="_Toc1743"/>
      <w:bookmarkStart w:id="244" w:name="_Toc1635"/>
      <w:bookmarkStart w:id="245" w:name="_Toc18949"/>
      <w:bookmarkStart w:id="246" w:name="_Toc14173"/>
      <w:bookmarkStart w:id="247" w:name="_Toc91421109"/>
      <w:bookmarkStart w:id="248" w:name="_Toc2136"/>
      <w:bookmarkStart w:id="249" w:name="_Toc16688"/>
      <w:bookmarkStart w:id="250" w:name="_Toc7743"/>
      <w:bookmarkStart w:id="251" w:name="_Toc19662"/>
      <w:bookmarkStart w:id="252" w:name="_Toc6501"/>
      <w:r>
        <w:rPr>
          <w:rFonts w:hint="eastAsia" w:ascii="Times New Roman" w:hAnsi="Times New Roman" w:eastAsia="仿宋"/>
        </w:rPr>
        <w:t>一、规则</w:t>
      </w:r>
      <w:bookmarkEnd w:id="241"/>
      <w:bookmarkEnd w:id="242"/>
      <w:bookmarkEnd w:id="243"/>
      <w:bookmarkEnd w:id="244"/>
      <w:bookmarkEnd w:id="245"/>
      <w:bookmarkEnd w:id="246"/>
      <w:bookmarkEnd w:id="247"/>
      <w:bookmarkEnd w:id="248"/>
      <w:bookmarkEnd w:id="249"/>
      <w:bookmarkEnd w:id="250"/>
      <w:bookmarkEnd w:id="251"/>
      <w:bookmarkEnd w:id="252"/>
    </w:p>
    <w:p w14:paraId="0F801F78">
      <w:pPr>
        <w:numPr>
          <w:ilvl w:val="0"/>
          <w:numId w:val="13"/>
        </w:numPr>
        <w:autoSpaceDE w:val="0"/>
        <w:autoSpaceDN w:val="0"/>
        <w:spacing w:line="560" w:lineRule="exact"/>
        <w:ind w:firstLine="480" w:firstLineChars="200"/>
        <w:rPr>
          <w:rFonts w:ascii="Times New Roman" w:hAnsi="Times New Roman" w:eastAsia="仿宋"/>
        </w:rPr>
      </w:pPr>
      <w:r>
        <w:rPr>
          <w:rFonts w:hint="eastAsia" w:ascii="Times New Roman" w:hAnsi="Times New Roman" w:eastAsia="仿宋"/>
        </w:rPr>
        <w:t>比选人在比选时，比选办法采用</w:t>
      </w:r>
      <w:r>
        <w:rPr>
          <w:rFonts w:hint="eastAsia" w:ascii="Times New Roman" w:hAnsi="Times New Roman" w:eastAsia="仿宋" w:cs="仿宋"/>
          <w:color w:val="000000"/>
        </w:rPr>
        <w:t>综合评分法确定中选单位</w:t>
      </w:r>
      <w:r>
        <w:rPr>
          <w:rFonts w:hint="eastAsia" w:ascii="Times New Roman" w:hAnsi="Times New Roman" w:eastAsia="仿宋"/>
        </w:rPr>
        <w:t>。</w:t>
      </w:r>
    </w:p>
    <w:p w14:paraId="16360A08">
      <w:pPr>
        <w:numPr>
          <w:ilvl w:val="0"/>
          <w:numId w:val="13"/>
        </w:numPr>
        <w:autoSpaceDE w:val="0"/>
        <w:autoSpaceDN w:val="0"/>
        <w:spacing w:line="560" w:lineRule="exact"/>
        <w:ind w:firstLine="480" w:firstLineChars="200"/>
        <w:rPr>
          <w:rFonts w:ascii="Times New Roman" w:hAnsi="Times New Roman" w:eastAsia="仿宋"/>
        </w:rPr>
      </w:pPr>
      <w:r>
        <w:rPr>
          <w:rFonts w:hint="eastAsia" w:ascii="Times New Roman" w:hAnsi="Times New Roman" w:eastAsia="仿宋"/>
        </w:rPr>
        <w:t>参选人串选、相互勾结故意压低价格以排挤竞争对手的公平竞争的，其参选无效。</w:t>
      </w:r>
    </w:p>
    <w:p w14:paraId="2D590E1B">
      <w:pPr>
        <w:numPr>
          <w:ilvl w:val="0"/>
          <w:numId w:val="13"/>
        </w:numPr>
        <w:autoSpaceDE w:val="0"/>
        <w:autoSpaceDN w:val="0"/>
        <w:spacing w:line="560" w:lineRule="exact"/>
        <w:ind w:firstLine="480" w:firstLineChars="200"/>
        <w:rPr>
          <w:rFonts w:ascii="Times New Roman" w:hAnsi="Times New Roman" w:eastAsia="仿宋"/>
        </w:rPr>
      </w:pPr>
      <w:r>
        <w:rPr>
          <w:rFonts w:hint="eastAsia" w:ascii="Times New Roman" w:hAnsi="Times New Roman" w:eastAsia="仿宋"/>
        </w:rPr>
        <w:t>替补候选人的设定与使用：在合同签订前，比选人发现中选人的参选报价或服务存在重大偏差、或参选材料存在欺诈行为时、或中选人因不可抗力或自身原因不能履行合同、或存在法律法规规定或本比选文件规定不得中选的其他情形的，比选人将有权取消其中选人资格，并将依评比规则确定的排名第二名的候选中选人为本项目的中选人，或者重新组织比选。</w:t>
      </w:r>
    </w:p>
    <w:p w14:paraId="789EA606">
      <w:pPr>
        <w:pStyle w:val="5"/>
        <w:widowControl/>
        <w:spacing w:before="0" w:after="0" w:line="560" w:lineRule="exact"/>
        <w:ind w:left="576"/>
        <w:jc w:val="left"/>
        <w:rPr>
          <w:rFonts w:ascii="Times New Roman" w:hAnsi="Times New Roman" w:eastAsia="仿宋"/>
        </w:rPr>
      </w:pPr>
      <w:bookmarkStart w:id="253" w:name="_Toc3072"/>
      <w:bookmarkStart w:id="254" w:name="_Toc25845"/>
      <w:bookmarkStart w:id="255" w:name="_Toc28961"/>
      <w:bookmarkStart w:id="256" w:name="_Toc14363"/>
      <w:bookmarkStart w:id="257" w:name="_Toc7235"/>
      <w:bookmarkStart w:id="258" w:name="_Toc16403"/>
      <w:bookmarkStart w:id="259" w:name="_Toc91421110"/>
      <w:bookmarkStart w:id="260" w:name="_Toc24784"/>
      <w:bookmarkStart w:id="261" w:name="_Toc17111"/>
      <w:bookmarkStart w:id="262" w:name="_Toc9831"/>
      <w:bookmarkStart w:id="263" w:name="_Toc7732"/>
      <w:bookmarkStart w:id="264" w:name="_Toc30519"/>
      <w:r>
        <w:rPr>
          <w:rFonts w:hint="eastAsia" w:ascii="Times New Roman" w:hAnsi="Times New Roman" w:eastAsia="仿宋"/>
        </w:rPr>
        <w:t>二、资格审查</w:t>
      </w:r>
      <w:bookmarkEnd w:id="253"/>
      <w:bookmarkEnd w:id="254"/>
      <w:bookmarkEnd w:id="255"/>
      <w:bookmarkEnd w:id="256"/>
      <w:bookmarkEnd w:id="257"/>
      <w:bookmarkEnd w:id="258"/>
      <w:bookmarkEnd w:id="259"/>
      <w:bookmarkEnd w:id="260"/>
      <w:bookmarkEnd w:id="261"/>
      <w:bookmarkEnd w:id="262"/>
      <w:bookmarkEnd w:id="263"/>
      <w:bookmarkEnd w:id="264"/>
    </w:p>
    <w:p w14:paraId="1E765032">
      <w:pPr>
        <w:autoSpaceDE w:val="0"/>
        <w:autoSpaceDN w:val="0"/>
        <w:spacing w:line="560" w:lineRule="exact"/>
        <w:ind w:firstLine="480" w:firstLineChars="200"/>
        <w:rPr>
          <w:rFonts w:ascii="Times New Roman" w:hAnsi="Times New Roman" w:eastAsia="仿宋"/>
          <w:snapToGrid w:val="0"/>
        </w:rPr>
      </w:pPr>
      <w:r>
        <w:rPr>
          <w:rFonts w:hint="eastAsia" w:ascii="Times New Roman" w:hAnsi="Times New Roman" w:eastAsia="仿宋"/>
          <w:snapToGrid w:val="0"/>
        </w:rPr>
        <w:t>由比选人组建的比选小组将按照第二章比选须知第六点“参选人资格”的要求对参选人进行资格审查，以确定是否为符合比选文件规定要求的合格参选人，同时，比选小组将依据参选人提供的资格证明文件审查参选人的法人资格、营业范围及本比选文件规定的其他资格条件，以确定参选人是否有资格履行合同。经上述资格审查合格的参选人进入下一程序的评审，经上述资格审查不合格的参选人，其参选资格将被比选小组予以否决。</w:t>
      </w:r>
    </w:p>
    <w:p w14:paraId="76827992">
      <w:pPr>
        <w:pStyle w:val="5"/>
        <w:widowControl/>
        <w:spacing w:before="0" w:after="0" w:line="560" w:lineRule="exact"/>
        <w:ind w:left="576"/>
        <w:jc w:val="left"/>
        <w:rPr>
          <w:rFonts w:ascii="Times New Roman" w:hAnsi="Times New Roman" w:eastAsia="仿宋"/>
        </w:rPr>
      </w:pPr>
      <w:bookmarkStart w:id="265" w:name="_Toc11095"/>
      <w:bookmarkStart w:id="266" w:name="_Toc20268"/>
      <w:bookmarkStart w:id="267" w:name="_Toc24117"/>
      <w:bookmarkStart w:id="268" w:name="_Toc18476"/>
      <w:bookmarkStart w:id="269" w:name="_Toc8652"/>
      <w:bookmarkStart w:id="270" w:name="_Toc91421111"/>
      <w:bookmarkStart w:id="271" w:name="_Toc24095"/>
      <w:bookmarkStart w:id="272" w:name="_Toc14478"/>
      <w:bookmarkStart w:id="273" w:name="_Toc26675"/>
      <w:bookmarkStart w:id="274" w:name="_Toc28558"/>
      <w:bookmarkStart w:id="275" w:name="_Toc20671"/>
      <w:bookmarkStart w:id="276" w:name="_Toc27426"/>
      <w:r>
        <w:rPr>
          <w:rFonts w:hint="eastAsia" w:ascii="Times New Roman" w:hAnsi="Times New Roman" w:eastAsia="仿宋"/>
        </w:rPr>
        <w:t>三、比选办法</w:t>
      </w:r>
      <w:bookmarkEnd w:id="265"/>
      <w:bookmarkEnd w:id="266"/>
      <w:bookmarkEnd w:id="267"/>
      <w:bookmarkEnd w:id="268"/>
      <w:bookmarkEnd w:id="269"/>
      <w:bookmarkEnd w:id="270"/>
      <w:bookmarkEnd w:id="271"/>
      <w:bookmarkEnd w:id="272"/>
      <w:bookmarkEnd w:id="273"/>
      <w:bookmarkEnd w:id="274"/>
      <w:bookmarkEnd w:id="275"/>
      <w:bookmarkEnd w:id="276"/>
    </w:p>
    <w:p w14:paraId="5C18EA32">
      <w:pPr>
        <w:autoSpaceDE w:val="0"/>
        <w:autoSpaceDN w:val="0"/>
        <w:spacing w:line="560" w:lineRule="exact"/>
        <w:ind w:firstLine="562" w:firstLineChars="200"/>
        <w:rPr>
          <w:rFonts w:ascii="Times New Roman" w:hAnsi="Times New Roman" w:eastAsia="仿宋"/>
          <w:b/>
          <w:bCs/>
          <w:snapToGrid w:val="0"/>
          <w:sz w:val="28"/>
          <w:szCs w:val="28"/>
        </w:rPr>
      </w:pPr>
      <w:bookmarkStart w:id="277" w:name="_Toc12248"/>
      <w:r>
        <w:rPr>
          <w:rFonts w:hint="eastAsia" w:ascii="Times New Roman" w:hAnsi="Times New Roman" w:eastAsia="仿宋"/>
          <w:b/>
          <w:bCs/>
          <w:snapToGrid w:val="0"/>
          <w:sz w:val="28"/>
          <w:szCs w:val="28"/>
        </w:rPr>
        <w:t>3.1 本项目比选采用</w:t>
      </w:r>
      <w:r>
        <w:rPr>
          <w:rFonts w:hint="eastAsia" w:ascii="Times New Roman" w:hAnsi="Times New Roman" w:eastAsia="仿宋"/>
          <w:b/>
          <w:bCs/>
          <w:snapToGrid w:val="0"/>
          <w:color w:val="000000"/>
          <w:sz w:val="28"/>
          <w:szCs w:val="28"/>
        </w:rPr>
        <w:t>综合评分法确定中选单位</w:t>
      </w:r>
      <w:r>
        <w:rPr>
          <w:rFonts w:hint="eastAsia" w:ascii="Times New Roman" w:hAnsi="Times New Roman" w:eastAsia="仿宋"/>
          <w:b/>
          <w:bCs/>
          <w:snapToGrid w:val="0"/>
          <w:sz w:val="28"/>
          <w:szCs w:val="28"/>
        </w:rPr>
        <w:t>，具体如下：</w:t>
      </w:r>
    </w:p>
    <w:p w14:paraId="0E4BE0E1">
      <w:pPr>
        <w:numPr>
          <w:ilvl w:val="0"/>
          <w:numId w:val="14"/>
        </w:numPr>
        <w:autoSpaceDE w:val="0"/>
        <w:autoSpaceDN w:val="0"/>
        <w:spacing w:line="560" w:lineRule="exact"/>
        <w:ind w:firstLine="480" w:firstLineChars="200"/>
        <w:rPr>
          <w:rFonts w:ascii="Times New Roman" w:hAnsi="Times New Roman" w:eastAsia="仿宋"/>
          <w:snapToGrid w:val="0"/>
        </w:rPr>
      </w:pPr>
      <w:r>
        <w:rPr>
          <w:rFonts w:hint="eastAsia" w:ascii="Times New Roman" w:hAnsi="Times New Roman" w:eastAsia="仿宋"/>
          <w:snapToGrid w:val="0"/>
        </w:rPr>
        <w:t>参选</w:t>
      </w:r>
      <w:r>
        <w:rPr>
          <w:rFonts w:ascii="Times New Roman" w:hAnsi="Times New Roman" w:eastAsia="仿宋"/>
          <w:snapToGrid w:val="0"/>
        </w:rPr>
        <w:t>文件满足</w:t>
      </w:r>
      <w:r>
        <w:rPr>
          <w:rFonts w:hint="eastAsia" w:ascii="Times New Roman" w:hAnsi="Times New Roman" w:eastAsia="仿宋"/>
          <w:snapToGrid w:val="0"/>
        </w:rPr>
        <w:t>比选</w:t>
      </w:r>
      <w:r>
        <w:rPr>
          <w:rFonts w:ascii="Times New Roman" w:hAnsi="Times New Roman" w:eastAsia="仿宋"/>
          <w:snapToGrid w:val="0"/>
        </w:rPr>
        <w:t>文件全部实质性要求，且按照评审因素的量化指标评审得分（即</w:t>
      </w:r>
      <w:r>
        <w:rPr>
          <w:rFonts w:hint="eastAsia" w:ascii="Times New Roman" w:hAnsi="Times New Roman" w:eastAsia="仿宋"/>
          <w:snapToGrid w:val="0"/>
        </w:rPr>
        <w:t>比选</w:t>
      </w:r>
      <w:r>
        <w:rPr>
          <w:rFonts w:ascii="Times New Roman" w:hAnsi="Times New Roman" w:eastAsia="仿宋"/>
          <w:snapToGrid w:val="0"/>
        </w:rPr>
        <w:t>总得分）最高的</w:t>
      </w:r>
      <w:r>
        <w:rPr>
          <w:rFonts w:hint="eastAsia" w:ascii="Times New Roman" w:hAnsi="Times New Roman" w:eastAsia="仿宋"/>
          <w:snapToGrid w:val="0"/>
        </w:rPr>
        <w:t>参选人</w:t>
      </w:r>
      <w:r>
        <w:rPr>
          <w:rFonts w:ascii="Times New Roman" w:hAnsi="Times New Roman" w:eastAsia="仿宋"/>
          <w:snapToGrid w:val="0"/>
        </w:rPr>
        <w:t>为中</w:t>
      </w:r>
      <w:r>
        <w:rPr>
          <w:rFonts w:hint="eastAsia" w:ascii="Times New Roman" w:hAnsi="Times New Roman" w:eastAsia="仿宋"/>
          <w:snapToGrid w:val="0"/>
        </w:rPr>
        <w:t>选</w:t>
      </w:r>
      <w:r>
        <w:rPr>
          <w:rFonts w:ascii="Times New Roman" w:hAnsi="Times New Roman" w:eastAsia="仿宋"/>
          <w:snapToGrid w:val="0"/>
        </w:rPr>
        <w:t>候选人。</w:t>
      </w:r>
    </w:p>
    <w:p w14:paraId="1B81A699">
      <w:pPr>
        <w:numPr>
          <w:ilvl w:val="0"/>
          <w:numId w:val="14"/>
        </w:numPr>
        <w:autoSpaceDE w:val="0"/>
        <w:autoSpaceDN w:val="0"/>
        <w:spacing w:line="560" w:lineRule="exact"/>
        <w:ind w:firstLine="480" w:firstLineChars="200"/>
        <w:rPr>
          <w:rFonts w:hint="eastAsia" w:ascii="Times New Roman" w:hAnsi="Times New Roman" w:eastAsia="仿宋"/>
          <w:snapToGrid w:val="0"/>
        </w:rPr>
      </w:pPr>
      <w:r>
        <w:rPr>
          <w:rFonts w:hint="eastAsia" w:ascii="Times New Roman" w:hAnsi="Times New Roman" w:eastAsia="仿宋"/>
          <w:snapToGrid w:val="0"/>
        </w:rPr>
        <w:t>比选小组将对通过资格及实质响应性审查的各合格参选人，根据以下标准和方法进行评议。评分将按报价部分和技术商务部分分别进行，计算出各合格参选人的综合得分，综合得分最高者将被推荐为第一中选候选人，其余的递补中选候选人按综合得分从高到低的顺序依次排序，推第二、第三中选候选人。若有相同的最高综合得分，则其中参选报价低的参选人将被排序在前；若最高综合得分和参选报价仍相同，则由比选小组进行全员记名投票，得票数多的参选人将被排序在前。</w:t>
      </w:r>
    </w:p>
    <w:p w14:paraId="2C4C0DAD">
      <w:pPr>
        <w:autoSpaceDE w:val="0"/>
        <w:autoSpaceDN w:val="0"/>
        <w:spacing w:line="560" w:lineRule="exact"/>
        <w:ind w:left="480" w:leftChars="200"/>
        <w:rPr>
          <w:rFonts w:hint="eastAsia" w:ascii="Times New Roman" w:hAnsi="Times New Roman" w:eastAsia="仿宋"/>
          <w:snapToGrid w:val="0"/>
        </w:rPr>
      </w:pPr>
      <w:r>
        <w:rPr>
          <w:rFonts w:hint="eastAsia" w:ascii="Times New Roman" w:hAnsi="Times New Roman" w:eastAsia="仿宋"/>
          <w:snapToGrid w:val="0"/>
        </w:rPr>
        <w:t>各部分评分分值分布如下：</w:t>
      </w:r>
    </w:p>
    <w:p w14:paraId="5762E361">
      <w:pPr>
        <w:autoSpaceDE w:val="0"/>
        <w:autoSpaceDN w:val="0"/>
        <w:spacing w:line="560" w:lineRule="exact"/>
        <w:ind w:left="480" w:leftChars="200"/>
        <w:rPr>
          <w:rFonts w:hint="eastAsia" w:ascii="Times New Roman" w:hAnsi="Times New Roman" w:eastAsia="仿宋"/>
          <w:snapToGrid w:val="0"/>
          <w:highlight w:val="none"/>
        </w:rPr>
      </w:pPr>
      <w:r>
        <w:rPr>
          <w:rFonts w:hint="eastAsia" w:ascii="Times New Roman" w:hAnsi="Times New Roman" w:eastAsia="仿宋"/>
          <w:snapToGrid w:val="0"/>
          <w:highlight w:val="none"/>
        </w:rPr>
        <w:t>PF：报价部分评分　　　　　　　　　　　满分</w:t>
      </w:r>
      <w:r>
        <w:rPr>
          <w:rFonts w:hint="eastAsia" w:ascii="Times New Roman" w:hAnsi="Times New Roman" w:eastAsia="仿宋"/>
          <w:snapToGrid w:val="0"/>
          <w:highlight w:val="none"/>
          <w:lang w:val="en-US" w:eastAsia="zh-CN"/>
        </w:rPr>
        <w:t>5</w:t>
      </w:r>
      <w:r>
        <w:rPr>
          <w:rFonts w:hint="eastAsia" w:ascii="Times New Roman" w:hAnsi="Times New Roman" w:eastAsia="仿宋"/>
          <w:snapToGrid w:val="0"/>
          <w:highlight w:val="none"/>
        </w:rPr>
        <w:t>0分</w:t>
      </w:r>
    </w:p>
    <w:p w14:paraId="0D7086FE">
      <w:pPr>
        <w:autoSpaceDE w:val="0"/>
        <w:autoSpaceDN w:val="0"/>
        <w:spacing w:line="560" w:lineRule="exact"/>
        <w:ind w:left="480" w:leftChars="200"/>
        <w:rPr>
          <w:rFonts w:hint="eastAsia" w:ascii="Times New Roman" w:hAnsi="Times New Roman" w:eastAsia="仿宋"/>
          <w:snapToGrid w:val="0"/>
          <w:highlight w:val="none"/>
        </w:rPr>
      </w:pPr>
      <w:r>
        <w:rPr>
          <w:rFonts w:hint="eastAsia" w:ascii="Times New Roman" w:hAnsi="Times New Roman" w:eastAsia="仿宋"/>
          <w:snapToGrid w:val="0"/>
          <w:highlight w:val="none"/>
        </w:rPr>
        <w:t>PT：技术部分评分　　　　　　　　　　　满分</w:t>
      </w:r>
      <w:r>
        <w:rPr>
          <w:rFonts w:hint="eastAsia" w:ascii="Times New Roman" w:hAnsi="Times New Roman" w:eastAsia="仿宋"/>
          <w:snapToGrid w:val="0"/>
          <w:highlight w:val="none"/>
          <w:lang w:val="en-US" w:eastAsia="zh-CN"/>
        </w:rPr>
        <w:t>40</w:t>
      </w:r>
      <w:r>
        <w:rPr>
          <w:rFonts w:hint="eastAsia" w:ascii="Times New Roman" w:hAnsi="Times New Roman" w:eastAsia="仿宋"/>
          <w:snapToGrid w:val="0"/>
          <w:highlight w:val="none"/>
        </w:rPr>
        <w:t>分</w:t>
      </w:r>
    </w:p>
    <w:p w14:paraId="7263E4F0">
      <w:pPr>
        <w:autoSpaceDE w:val="0"/>
        <w:autoSpaceDN w:val="0"/>
        <w:spacing w:line="560" w:lineRule="exact"/>
        <w:ind w:left="480" w:leftChars="200"/>
        <w:rPr>
          <w:rFonts w:hint="eastAsia" w:ascii="Times New Roman" w:hAnsi="Times New Roman" w:eastAsia="仿宋"/>
          <w:snapToGrid w:val="0"/>
          <w:highlight w:val="none"/>
        </w:rPr>
      </w:pPr>
      <w:r>
        <w:rPr>
          <w:rFonts w:hint="eastAsia" w:ascii="Times New Roman" w:hAnsi="Times New Roman" w:eastAsia="仿宋"/>
          <w:snapToGrid w:val="0"/>
          <w:highlight w:val="none"/>
        </w:rPr>
        <w:t>PB：商务部分评分　　　　　　　　　　　满分1</w:t>
      </w:r>
      <w:r>
        <w:rPr>
          <w:rFonts w:hint="eastAsia" w:ascii="Times New Roman" w:hAnsi="Times New Roman" w:eastAsia="仿宋"/>
          <w:snapToGrid w:val="0"/>
          <w:highlight w:val="none"/>
          <w:lang w:val="en-US" w:eastAsia="zh-CN"/>
        </w:rPr>
        <w:t>0</w:t>
      </w:r>
      <w:r>
        <w:rPr>
          <w:rFonts w:hint="eastAsia" w:ascii="Times New Roman" w:hAnsi="Times New Roman" w:eastAsia="仿宋"/>
          <w:snapToGrid w:val="0"/>
          <w:highlight w:val="none"/>
        </w:rPr>
        <w:t>分</w:t>
      </w:r>
    </w:p>
    <w:p w14:paraId="5581E00B">
      <w:pPr>
        <w:autoSpaceDE w:val="0"/>
        <w:autoSpaceDN w:val="0"/>
        <w:spacing w:line="560" w:lineRule="exact"/>
        <w:ind w:firstLine="420"/>
        <w:rPr>
          <w:rFonts w:ascii="Times New Roman" w:hAnsi="Times New Roman" w:eastAsia="仿宋"/>
          <w:snapToGrid w:val="0"/>
          <w:highlight w:val="none"/>
        </w:rPr>
      </w:pPr>
      <w:r>
        <w:rPr>
          <w:rFonts w:hint="eastAsia" w:ascii="Times New Roman" w:hAnsi="Times New Roman" w:eastAsia="仿宋"/>
          <w:snapToGrid w:val="0"/>
          <w:highlight w:val="none"/>
        </w:rPr>
        <w:t>综合得分：P=PF+PT+PB</w:t>
      </w:r>
    </w:p>
    <w:p w14:paraId="2229A5E9">
      <w:pPr>
        <w:numPr>
          <w:ilvl w:val="0"/>
          <w:numId w:val="14"/>
        </w:numPr>
        <w:autoSpaceDE w:val="0"/>
        <w:autoSpaceDN w:val="0"/>
        <w:spacing w:line="560" w:lineRule="exact"/>
        <w:ind w:firstLine="480" w:firstLineChars="200"/>
        <w:rPr>
          <w:rFonts w:ascii="Times New Roman" w:hAnsi="Times New Roman" w:eastAsia="仿宋"/>
          <w:snapToGrid w:val="0"/>
          <w:highlight w:val="none"/>
        </w:rPr>
      </w:pPr>
      <w:r>
        <w:rPr>
          <w:rFonts w:hint="eastAsia" w:ascii="Times New Roman" w:hAnsi="Times New Roman" w:eastAsia="仿宋"/>
          <w:color w:val="000000"/>
          <w:highlight w:val="none"/>
        </w:rPr>
        <w:t>比选人不保证最低价中选。</w:t>
      </w:r>
    </w:p>
    <w:p w14:paraId="438755CA">
      <w:pPr>
        <w:numPr>
          <w:ilvl w:val="0"/>
          <w:numId w:val="14"/>
        </w:numPr>
        <w:autoSpaceDE w:val="0"/>
        <w:autoSpaceDN w:val="0"/>
        <w:spacing w:line="560" w:lineRule="exact"/>
        <w:ind w:firstLine="480" w:firstLineChars="200"/>
        <w:rPr>
          <w:rFonts w:ascii="Times New Roman" w:hAnsi="Times New Roman" w:eastAsia="仿宋"/>
          <w:snapToGrid w:val="0"/>
          <w:highlight w:val="none"/>
        </w:rPr>
      </w:pPr>
      <w:r>
        <w:rPr>
          <w:rFonts w:hint="eastAsia" w:ascii="Times New Roman" w:hAnsi="Times New Roman" w:eastAsia="仿宋"/>
          <w:snapToGrid w:val="0"/>
          <w:highlight w:val="none"/>
        </w:rPr>
        <w:t>合同包1</w:t>
      </w:r>
      <w:r>
        <w:rPr>
          <w:rFonts w:ascii="Times New Roman" w:hAnsi="Times New Roman" w:eastAsia="仿宋"/>
          <w:snapToGrid w:val="0"/>
          <w:highlight w:val="none"/>
        </w:rPr>
        <w:t>各项评审因素的设置如下：</w:t>
      </w:r>
    </w:p>
    <w:p w14:paraId="098EC016">
      <w:pPr>
        <w:numPr>
          <w:ilvl w:val="0"/>
          <w:numId w:val="15"/>
        </w:numPr>
        <w:autoSpaceDE w:val="0"/>
        <w:autoSpaceDN w:val="0"/>
        <w:spacing w:line="560" w:lineRule="exact"/>
        <w:ind w:firstLine="480" w:firstLineChars="200"/>
        <w:rPr>
          <w:rFonts w:ascii="Times New Roman" w:hAnsi="Times New Roman" w:eastAsia="仿宋"/>
          <w:snapToGrid w:val="0"/>
          <w:highlight w:val="none"/>
        </w:rPr>
      </w:pPr>
      <w:r>
        <w:rPr>
          <w:rFonts w:ascii="Times New Roman" w:hAnsi="Times New Roman" w:eastAsia="仿宋"/>
          <w:snapToGrid w:val="0"/>
          <w:highlight w:val="none"/>
        </w:rPr>
        <w:t>价格项（</w:t>
      </w:r>
      <w:r>
        <w:rPr>
          <w:rFonts w:hint="eastAsia" w:ascii="Times New Roman" w:hAnsi="Times New Roman" w:eastAsia="仿宋"/>
          <w:snapToGrid w:val="0"/>
          <w:highlight w:val="none"/>
        </w:rPr>
        <w:t>PF</w:t>
      </w:r>
      <w:r>
        <w:rPr>
          <w:rFonts w:ascii="Times New Roman" w:hAnsi="Times New Roman" w:eastAsia="仿宋"/>
          <w:snapToGrid w:val="0"/>
          <w:highlight w:val="none"/>
        </w:rPr>
        <w:t>）满分为</w:t>
      </w:r>
      <w:r>
        <w:rPr>
          <w:rFonts w:hint="eastAsia" w:ascii="Times New Roman" w:hAnsi="Times New Roman" w:eastAsia="仿宋"/>
          <w:snapToGrid w:val="0"/>
          <w:highlight w:val="none"/>
          <w:lang w:val="en-US" w:eastAsia="zh-CN"/>
        </w:rPr>
        <w:t>50</w:t>
      </w:r>
      <w:r>
        <w:rPr>
          <w:rFonts w:ascii="Times New Roman" w:hAnsi="Times New Roman" w:eastAsia="仿宋"/>
          <w:snapToGrid w:val="0"/>
          <w:highlight w:val="none"/>
        </w:rPr>
        <w:t>分。</w:t>
      </w:r>
    </w:p>
    <w:p w14:paraId="2CF7377E">
      <w:pPr>
        <w:autoSpaceDE w:val="0"/>
        <w:autoSpaceDN w:val="0"/>
        <w:spacing w:line="560" w:lineRule="exact"/>
        <w:ind w:firstLine="480" w:firstLineChars="200"/>
        <w:rPr>
          <w:rFonts w:hint="eastAsia" w:ascii="Times New Roman" w:hAnsi="Times New Roman" w:eastAsia="仿宋"/>
          <w:snapToGrid w:val="0"/>
          <w:highlight w:val="none"/>
        </w:rPr>
      </w:pPr>
      <w:r>
        <w:rPr>
          <w:rFonts w:hint="eastAsia" w:ascii="Times New Roman" w:hAnsi="Times New Roman" w:eastAsia="仿宋"/>
          <w:snapToGrid w:val="0"/>
          <w:highlight w:val="none"/>
        </w:rPr>
        <w:t>价格分采用平均价计算，即满足参选文件要求，各参选人报价的平均值作为参选基准价，其价格分为满分。参选人的价格分按照下列公式统一计算:</w:t>
      </w:r>
    </w:p>
    <w:p w14:paraId="6AD46279">
      <w:pPr>
        <w:autoSpaceDE w:val="0"/>
        <w:autoSpaceDN w:val="0"/>
        <w:spacing w:line="560" w:lineRule="exact"/>
        <w:ind w:firstLine="480" w:firstLineChars="200"/>
        <w:rPr>
          <w:rFonts w:hint="eastAsia" w:ascii="Times New Roman" w:hAnsi="Times New Roman" w:eastAsia="仿宋"/>
          <w:snapToGrid w:val="0"/>
          <w:highlight w:val="none"/>
        </w:rPr>
      </w:pPr>
      <w:r>
        <w:rPr>
          <w:rFonts w:hint="eastAsia" w:ascii="Times New Roman" w:hAnsi="Times New Roman" w:eastAsia="仿宋"/>
          <w:snapToGrid w:val="0"/>
          <w:highlight w:val="none"/>
        </w:rPr>
        <w:t>价格分=</w:t>
      </w:r>
      <w:r>
        <w:rPr>
          <w:rFonts w:hint="eastAsia" w:ascii="Times New Roman" w:hAnsi="Times New Roman" w:eastAsia="仿宋"/>
          <w:snapToGrid w:val="0"/>
          <w:highlight w:val="none"/>
          <w:lang w:val="en-US" w:eastAsia="zh-CN"/>
        </w:rPr>
        <w:t>5</w:t>
      </w:r>
      <w:r>
        <w:rPr>
          <w:rFonts w:hint="eastAsia" w:ascii="Times New Roman" w:hAnsi="Times New Roman" w:eastAsia="仿宋"/>
          <w:snapToGrid w:val="0"/>
          <w:highlight w:val="none"/>
        </w:rPr>
        <w:t>0-|参选报价-参选基准价|/参选基准价×</w:t>
      </w:r>
      <w:r>
        <w:rPr>
          <w:rFonts w:hint="eastAsia" w:ascii="Times New Roman" w:hAnsi="Times New Roman" w:eastAsia="仿宋"/>
          <w:snapToGrid w:val="0"/>
          <w:highlight w:val="none"/>
          <w:lang w:val="en-US" w:eastAsia="zh-CN"/>
        </w:rPr>
        <w:t>2</w:t>
      </w:r>
      <w:r>
        <w:rPr>
          <w:rFonts w:hint="eastAsia" w:ascii="Times New Roman" w:hAnsi="Times New Roman" w:eastAsia="仿宋"/>
          <w:snapToGrid w:val="0"/>
          <w:highlight w:val="none"/>
        </w:rPr>
        <w:t>5×Q</w:t>
      </w:r>
    </w:p>
    <w:p w14:paraId="342AA67C">
      <w:pPr>
        <w:autoSpaceDE w:val="0"/>
        <w:autoSpaceDN w:val="0"/>
        <w:spacing w:line="560" w:lineRule="exact"/>
        <w:ind w:firstLine="480" w:firstLineChars="200"/>
        <w:rPr>
          <w:rFonts w:ascii="Times New Roman" w:hAnsi="Times New Roman" w:eastAsia="仿宋"/>
          <w:snapToGrid w:val="0"/>
          <w:color w:val="FF0000"/>
          <w:highlight w:val="none"/>
        </w:rPr>
      </w:pPr>
      <w:r>
        <w:rPr>
          <w:rFonts w:hint="eastAsia" w:ascii="Times New Roman" w:hAnsi="Times New Roman" w:eastAsia="仿宋"/>
          <w:snapToGrid w:val="0"/>
          <w:highlight w:val="none"/>
        </w:rPr>
        <w:t>Q为折价分值，参选报价﹥参选基准价时，Q=1；反之，Q=0.5，价格项最低得分为0分。</w:t>
      </w:r>
    </w:p>
    <w:p w14:paraId="66676466">
      <w:pPr>
        <w:pStyle w:val="21"/>
        <w:numPr>
          <w:ilvl w:val="0"/>
          <w:numId w:val="15"/>
        </w:numPr>
        <w:autoSpaceDE w:val="0"/>
        <w:autoSpaceDN w:val="0"/>
        <w:spacing w:line="560" w:lineRule="exact"/>
        <w:ind w:firstLine="480"/>
        <w:rPr>
          <w:rFonts w:ascii="Times New Roman" w:hAnsi="Times New Roman" w:eastAsia="仿宋"/>
          <w:snapToGrid w:val="0"/>
          <w:sz w:val="24"/>
          <w:szCs w:val="24"/>
          <w:highlight w:val="none"/>
        </w:rPr>
      </w:pPr>
      <w:r>
        <w:rPr>
          <w:rFonts w:ascii="Times New Roman" w:hAnsi="Times New Roman" w:eastAsia="仿宋"/>
          <w:snapToGrid w:val="0"/>
          <w:sz w:val="24"/>
          <w:szCs w:val="24"/>
          <w:highlight w:val="none"/>
        </w:rPr>
        <w:t>技术项（</w:t>
      </w:r>
      <w:r>
        <w:rPr>
          <w:rFonts w:hint="eastAsia" w:ascii="Times New Roman" w:hAnsi="Times New Roman" w:eastAsia="仿宋"/>
          <w:snapToGrid w:val="0"/>
          <w:sz w:val="24"/>
          <w:szCs w:val="24"/>
          <w:highlight w:val="none"/>
        </w:rPr>
        <w:t>PT</w:t>
      </w:r>
      <w:r>
        <w:rPr>
          <w:rFonts w:ascii="Times New Roman" w:hAnsi="Times New Roman" w:eastAsia="仿宋"/>
          <w:snapToGrid w:val="0"/>
          <w:sz w:val="24"/>
          <w:szCs w:val="24"/>
          <w:highlight w:val="none"/>
        </w:rPr>
        <w:t>）满分为</w:t>
      </w:r>
      <w:r>
        <w:rPr>
          <w:rFonts w:hint="eastAsia" w:ascii="Times New Roman" w:hAnsi="Times New Roman" w:eastAsia="仿宋"/>
          <w:snapToGrid w:val="0"/>
          <w:sz w:val="24"/>
          <w:szCs w:val="24"/>
          <w:highlight w:val="none"/>
          <w:lang w:val="en-US" w:eastAsia="zh-CN"/>
        </w:rPr>
        <w:t>40</w:t>
      </w:r>
      <w:r>
        <w:rPr>
          <w:rFonts w:ascii="Times New Roman" w:hAnsi="Times New Roman" w:eastAsia="仿宋"/>
          <w:snapToGrid w:val="0"/>
          <w:sz w:val="24"/>
          <w:szCs w:val="24"/>
          <w:highlight w:val="none"/>
        </w:rPr>
        <w:t>分。</w:t>
      </w:r>
    </w:p>
    <w:tbl>
      <w:tblPr>
        <w:tblStyle w:val="17"/>
        <w:tblW w:w="4994"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59"/>
        <w:gridCol w:w="1167"/>
        <w:gridCol w:w="7033"/>
      </w:tblGrid>
      <w:tr w14:paraId="1EE820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711" w:type="pct"/>
          </w:tcPr>
          <w:p w14:paraId="0395311B">
            <w:pPr>
              <w:pStyle w:val="27"/>
              <w:keepNext w:val="0"/>
              <w:keepLines w:val="0"/>
              <w:pageBreakBefore w:val="0"/>
              <w:wordWrap/>
              <w:topLinePunct w:val="0"/>
              <w:bidi w:val="0"/>
              <w:spacing w:line="360" w:lineRule="auto"/>
              <w:jc w:val="center"/>
              <w:textAlignment w:val="auto"/>
              <w:rPr>
                <w:rFonts w:hint="eastAsia" w:ascii="仿宋" w:hAnsi="仿宋" w:eastAsia="仿宋" w:cs="仿宋"/>
                <w:sz w:val="21"/>
                <w:szCs w:val="21"/>
                <w:highlight w:val="none"/>
              </w:rPr>
            </w:pPr>
            <w:r>
              <w:rPr>
                <w:rFonts w:hint="eastAsia" w:ascii="仿宋" w:hAnsi="仿宋" w:eastAsia="仿宋" w:cs="仿宋"/>
                <w:color w:val="auto"/>
                <w:kern w:val="0"/>
                <w:sz w:val="21"/>
                <w:szCs w:val="21"/>
                <w:highlight w:val="none"/>
              </w:rPr>
              <w:t>评审</w:t>
            </w:r>
            <w:r>
              <w:rPr>
                <w:rFonts w:hint="eastAsia" w:ascii="仿宋" w:hAnsi="仿宋" w:eastAsia="仿宋" w:cs="仿宋"/>
                <w:sz w:val="21"/>
                <w:szCs w:val="21"/>
                <w:highlight w:val="none"/>
              </w:rPr>
              <w:t>项目</w:t>
            </w:r>
          </w:p>
        </w:tc>
        <w:tc>
          <w:tcPr>
            <w:tcW w:w="610" w:type="pct"/>
          </w:tcPr>
          <w:p w14:paraId="1EBF6F33">
            <w:pPr>
              <w:pStyle w:val="27"/>
              <w:keepNext w:val="0"/>
              <w:keepLines w:val="0"/>
              <w:pageBreakBefore w:val="0"/>
              <w:wordWrap/>
              <w:topLinePunct w:val="0"/>
              <w:bidi w:val="0"/>
              <w:spacing w:line="360" w:lineRule="auto"/>
              <w:jc w:val="center"/>
              <w:textAlignment w:val="auto"/>
              <w:rPr>
                <w:rFonts w:hint="eastAsia" w:ascii="仿宋" w:hAnsi="仿宋" w:eastAsia="仿宋" w:cs="仿宋"/>
                <w:sz w:val="21"/>
                <w:szCs w:val="21"/>
                <w:highlight w:val="none"/>
              </w:rPr>
            </w:pPr>
            <w:r>
              <w:rPr>
                <w:rFonts w:hint="eastAsia" w:ascii="仿宋" w:hAnsi="仿宋" w:eastAsia="仿宋" w:cs="仿宋"/>
                <w:color w:val="auto"/>
                <w:kern w:val="0"/>
                <w:sz w:val="21"/>
                <w:szCs w:val="21"/>
                <w:highlight w:val="none"/>
              </w:rPr>
              <w:t>评审</w:t>
            </w:r>
            <w:r>
              <w:rPr>
                <w:rFonts w:hint="eastAsia" w:ascii="仿宋" w:hAnsi="仿宋" w:eastAsia="仿宋" w:cs="仿宋"/>
                <w:sz w:val="21"/>
                <w:szCs w:val="21"/>
                <w:highlight w:val="none"/>
              </w:rPr>
              <w:t>分值</w:t>
            </w:r>
          </w:p>
        </w:tc>
        <w:tc>
          <w:tcPr>
            <w:tcW w:w="3677" w:type="pct"/>
          </w:tcPr>
          <w:p w14:paraId="76E61C03">
            <w:pPr>
              <w:pStyle w:val="27"/>
              <w:keepNext w:val="0"/>
              <w:keepLines w:val="0"/>
              <w:pageBreakBefore w:val="0"/>
              <w:wordWrap/>
              <w:topLinePunct w:val="0"/>
              <w:bidi w:val="0"/>
              <w:spacing w:line="360" w:lineRule="auto"/>
              <w:jc w:val="center"/>
              <w:textAlignment w:val="auto"/>
              <w:rPr>
                <w:rFonts w:hint="eastAsia" w:ascii="仿宋" w:hAnsi="仿宋" w:eastAsia="仿宋" w:cs="仿宋"/>
                <w:sz w:val="21"/>
                <w:szCs w:val="21"/>
                <w:highlight w:val="none"/>
              </w:rPr>
            </w:pPr>
            <w:r>
              <w:rPr>
                <w:rFonts w:hint="eastAsia" w:ascii="仿宋" w:hAnsi="仿宋" w:eastAsia="仿宋" w:cs="仿宋"/>
                <w:color w:val="auto"/>
                <w:kern w:val="0"/>
                <w:sz w:val="21"/>
                <w:szCs w:val="21"/>
                <w:highlight w:val="none"/>
              </w:rPr>
              <w:t>评审方法描述</w:t>
            </w:r>
          </w:p>
        </w:tc>
      </w:tr>
      <w:tr w14:paraId="5FD046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108" w:hRule="exact"/>
        </w:trPr>
        <w:tc>
          <w:tcPr>
            <w:tcW w:w="711" w:type="pct"/>
            <w:vAlign w:val="center"/>
          </w:tcPr>
          <w:p w14:paraId="6183EB9D">
            <w:pPr>
              <w:pStyle w:val="27"/>
              <w:keepNext w:val="0"/>
              <w:keepLines w:val="0"/>
              <w:pageBreakBefore w:val="0"/>
              <w:wordWrap/>
              <w:topLinePunct w:val="0"/>
              <w:bidi w:val="0"/>
              <w:spacing w:line="360" w:lineRule="auto"/>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1.技术和服务要求响应情况</w:t>
            </w:r>
          </w:p>
        </w:tc>
        <w:tc>
          <w:tcPr>
            <w:tcW w:w="610" w:type="pct"/>
            <w:vAlign w:val="center"/>
          </w:tcPr>
          <w:p w14:paraId="24585B54">
            <w:pPr>
              <w:pStyle w:val="27"/>
              <w:keepNext w:val="0"/>
              <w:keepLines w:val="0"/>
              <w:pageBreakBefore w:val="0"/>
              <w:wordWrap/>
              <w:topLinePunct w:val="0"/>
              <w:bidi w:val="0"/>
              <w:spacing w:line="360" w:lineRule="auto"/>
              <w:jc w:val="center"/>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37</w:t>
            </w:r>
          </w:p>
        </w:tc>
        <w:tc>
          <w:tcPr>
            <w:tcW w:w="3677" w:type="pct"/>
            <w:vAlign w:val="top"/>
          </w:tcPr>
          <w:p w14:paraId="00F98E9A">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eastAsia="zh-CN"/>
              </w:rPr>
              <w:t>参选人</w:t>
            </w:r>
            <w:r>
              <w:rPr>
                <w:rFonts w:hint="eastAsia" w:ascii="仿宋" w:hAnsi="仿宋" w:eastAsia="仿宋" w:cs="仿宋"/>
                <w:sz w:val="21"/>
                <w:szCs w:val="21"/>
                <w:highlight w:val="none"/>
              </w:rPr>
              <w:t>针对招标文件“</w:t>
            </w:r>
            <w:r>
              <w:rPr>
                <w:rFonts w:hint="eastAsia" w:ascii="仿宋" w:hAnsi="仿宋" w:eastAsia="仿宋" w:cs="仿宋"/>
                <w:sz w:val="21"/>
                <w:szCs w:val="21"/>
                <w:highlight w:val="none"/>
                <w:lang w:val="en-US" w:eastAsia="zh-CN"/>
              </w:rPr>
              <w:t>技术要求</w:t>
            </w:r>
            <w:r>
              <w:rPr>
                <w:rFonts w:hint="eastAsia" w:ascii="仿宋" w:hAnsi="仿宋" w:eastAsia="仿宋" w:cs="仿宋"/>
                <w:sz w:val="21"/>
                <w:szCs w:val="21"/>
                <w:highlight w:val="none"/>
              </w:rPr>
              <w:t>”内容的响应、承诺情况，由评标委员会进行评分：标注★号为实质性条款（共</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项），任一项负偏离的为无效投标；标注▲号条款（共</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 xml:space="preserve">项）存在负偏离的，每负偏离一项扣 </w:t>
            </w:r>
            <w:r>
              <w:rPr>
                <w:rFonts w:hint="eastAsia" w:ascii="仿宋" w:hAnsi="仿宋" w:eastAsia="仿宋" w:cs="仿宋"/>
                <w:sz w:val="21"/>
                <w:szCs w:val="21"/>
                <w:highlight w:val="none"/>
                <w:lang w:val="en-US" w:eastAsia="zh-CN"/>
              </w:rPr>
              <w:t xml:space="preserve">2 </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 xml:space="preserve">未标注★号、 ▲号的条款存在负偏离的，每负偏离一项扣 </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满分37分</w:t>
            </w:r>
            <w:r>
              <w:rPr>
                <w:rFonts w:hint="eastAsia" w:ascii="仿宋" w:hAnsi="仿宋" w:eastAsia="仿宋" w:cs="仿宋"/>
                <w:sz w:val="21"/>
                <w:szCs w:val="21"/>
                <w:highlight w:val="none"/>
                <w:lang w:eastAsia="zh-CN"/>
              </w:rPr>
              <w:t>）</w:t>
            </w:r>
          </w:p>
        </w:tc>
      </w:tr>
      <w:tr w14:paraId="6AA30D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93" w:hRule="exact"/>
        </w:trPr>
        <w:tc>
          <w:tcPr>
            <w:tcW w:w="711" w:type="pct"/>
            <w:vAlign w:val="center"/>
          </w:tcPr>
          <w:p w14:paraId="68CF3365">
            <w:pPr>
              <w:pStyle w:val="27"/>
              <w:keepNext w:val="0"/>
              <w:keepLines w:val="0"/>
              <w:pageBreakBefore w:val="0"/>
              <w:wordWrap/>
              <w:topLinePunct w:val="0"/>
              <w:bidi w:val="0"/>
              <w:spacing w:line="360" w:lineRule="auto"/>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2.实施方案</w:t>
            </w:r>
          </w:p>
        </w:tc>
        <w:tc>
          <w:tcPr>
            <w:tcW w:w="610" w:type="pct"/>
            <w:vAlign w:val="center"/>
          </w:tcPr>
          <w:p w14:paraId="04AF9CE7">
            <w:pPr>
              <w:pStyle w:val="27"/>
              <w:keepNext w:val="0"/>
              <w:keepLines w:val="0"/>
              <w:pageBreakBefore w:val="0"/>
              <w:wordWrap/>
              <w:topLinePunct w:val="0"/>
              <w:bidi w:val="0"/>
              <w:spacing w:line="36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3677" w:type="pct"/>
            <w:vAlign w:val="top"/>
          </w:tcPr>
          <w:p w14:paraId="1DF96758">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根据参选人所提供的《</w:t>
            </w:r>
            <w:r>
              <w:rPr>
                <w:rFonts w:hint="eastAsia" w:ascii="仿宋" w:hAnsi="仿宋" w:eastAsia="仿宋" w:cs="仿宋"/>
                <w:sz w:val="21"/>
                <w:szCs w:val="21"/>
                <w:highlight w:val="none"/>
                <w:lang w:val="en-US" w:eastAsia="zh-CN"/>
              </w:rPr>
              <w:t>实施方案</w:t>
            </w:r>
            <w:r>
              <w:rPr>
                <w:rFonts w:hint="eastAsia" w:ascii="仿宋" w:hAnsi="仿宋" w:eastAsia="仿宋" w:cs="仿宋"/>
                <w:sz w:val="21"/>
                <w:szCs w:val="21"/>
                <w:highlight w:val="none"/>
              </w:rPr>
              <w:t>》的完整性、合理性、针对性进行评分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包括但不限于建设内容、配置清单、工期安排、工程质量控制及保障措施等内容</w:t>
            </w:r>
            <w:r>
              <w:rPr>
                <w:rFonts w:hint="eastAsia" w:ascii="仿宋" w:hAnsi="仿宋" w:eastAsia="仿宋" w:cs="仿宋"/>
                <w:sz w:val="21"/>
                <w:szCs w:val="21"/>
                <w:highlight w:val="none"/>
              </w:rPr>
              <w:t>。优秀的得3分，良好的得2分，一般的得1分，未提供或方案不完整的本项不得分。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满分3分</w:t>
            </w:r>
            <w:r>
              <w:rPr>
                <w:rFonts w:hint="eastAsia" w:ascii="仿宋" w:hAnsi="仿宋" w:eastAsia="仿宋" w:cs="仿宋"/>
                <w:sz w:val="21"/>
                <w:szCs w:val="21"/>
                <w:highlight w:val="none"/>
                <w:lang w:eastAsia="zh-CN"/>
              </w:rPr>
              <w:t>）</w:t>
            </w:r>
          </w:p>
        </w:tc>
      </w:tr>
    </w:tbl>
    <w:p w14:paraId="7BBEAAE2">
      <w:pPr>
        <w:numPr>
          <w:ilvl w:val="0"/>
          <w:numId w:val="15"/>
        </w:numPr>
        <w:autoSpaceDE w:val="0"/>
        <w:autoSpaceDN w:val="0"/>
        <w:spacing w:line="560" w:lineRule="exact"/>
        <w:ind w:firstLine="480" w:firstLineChars="200"/>
        <w:rPr>
          <w:rFonts w:ascii="Times New Roman" w:hAnsi="Times New Roman" w:eastAsia="仿宋"/>
          <w:snapToGrid w:val="0"/>
        </w:rPr>
      </w:pPr>
      <w:r>
        <w:rPr>
          <w:rFonts w:ascii="Times New Roman" w:hAnsi="Times New Roman" w:eastAsia="仿宋"/>
          <w:snapToGrid w:val="0"/>
        </w:rPr>
        <w:t>商务项（</w:t>
      </w:r>
      <w:r>
        <w:rPr>
          <w:rFonts w:hint="eastAsia" w:ascii="Times New Roman" w:hAnsi="Times New Roman" w:eastAsia="仿宋"/>
          <w:snapToGrid w:val="0"/>
        </w:rPr>
        <w:t>PB</w:t>
      </w:r>
      <w:r>
        <w:rPr>
          <w:rFonts w:ascii="Times New Roman" w:hAnsi="Times New Roman" w:eastAsia="仿宋"/>
          <w:snapToGrid w:val="0"/>
        </w:rPr>
        <w:t>）满分为</w:t>
      </w:r>
      <w:r>
        <w:rPr>
          <w:rFonts w:hint="eastAsia" w:ascii="Times New Roman" w:hAnsi="Times New Roman" w:eastAsia="仿宋"/>
          <w:snapToGrid w:val="0"/>
        </w:rPr>
        <w:t>1</w:t>
      </w:r>
      <w:r>
        <w:rPr>
          <w:rFonts w:hint="eastAsia" w:ascii="Times New Roman" w:hAnsi="Times New Roman" w:eastAsia="仿宋"/>
          <w:snapToGrid w:val="0"/>
          <w:lang w:val="en-US" w:eastAsia="zh-CN"/>
        </w:rPr>
        <w:t>0</w:t>
      </w:r>
      <w:r>
        <w:rPr>
          <w:rFonts w:ascii="Times New Roman" w:hAnsi="Times New Roman" w:eastAsia="仿宋"/>
          <w:snapToGrid w:val="0"/>
        </w:rPr>
        <w:t>分。</w:t>
      </w:r>
    </w:p>
    <w:tbl>
      <w:tblPr>
        <w:tblStyle w:val="17"/>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63"/>
        <w:gridCol w:w="1169"/>
        <w:gridCol w:w="7030"/>
      </w:tblGrid>
      <w:tr w14:paraId="309A4B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7" w:hRule="exact"/>
        </w:trPr>
        <w:tc>
          <w:tcPr>
            <w:tcW w:w="713" w:type="pct"/>
            <w:shd w:val="clear" w:color="auto" w:fill="auto"/>
            <w:vAlign w:val="center"/>
          </w:tcPr>
          <w:p w14:paraId="6A681753">
            <w:pPr>
              <w:pStyle w:val="27"/>
              <w:keepNext w:val="0"/>
              <w:keepLines w:val="0"/>
              <w:pageBreakBefore w:val="0"/>
              <w:wordWrap/>
              <w:topLinePunct w:val="0"/>
              <w:bidi w:val="0"/>
              <w:spacing w:line="360" w:lineRule="auto"/>
              <w:jc w:val="center"/>
              <w:textAlignment w:val="auto"/>
              <w:rPr>
                <w:rFonts w:hint="eastAsia" w:ascii="仿宋" w:hAnsi="仿宋" w:eastAsia="仿宋" w:cs="仿宋"/>
                <w:sz w:val="21"/>
                <w:szCs w:val="21"/>
                <w:highlight w:val="none"/>
                <w:lang w:val="en-US" w:eastAsia="zh-Hans"/>
              </w:rPr>
            </w:pPr>
            <w:r>
              <w:rPr>
                <w:rFonts w:hint="eastAsia" w:ascii="仿宋" w:hAnsi="仿宋" w:eastAsia="仿宋" w:cs="仿宋"/>
                <w:color w:val="auto"/>
                <w:kern w:val="0"/>
                <w:sz w:val="21"/>
                <w:szCs w:val="21"/>
                <w:highlight w:val="none"/>
              </w:rPr>
              <w:t>评审</w:t>
            </w:r>
            <w:r>
              <w:rPr>
                <w:rFonts w:hint="eastAsia" w:ascii="仿宋" w:hAnsi="仿宋" w:eastAsia="仿宋" w:cs="仿宋"/>
                <w:sz w:val="21"/>
                <w:szCs w:val="21"/>
                <w:highlight w:val="none"/>
              </w:rPr>
              <w:t>项目</w:t>
            </w:r>
          </w:p>
        </w:tc>
        <w:tc>
          <w:tcPr>
            <w:tcW w:w="611" w:type="pct"/>
            <w:shd w:val="clear" w:color="auto" w:fill="auto"/>
            <w:vAlign w:val="center"/>
          </w:tcPr>
          <w:p w14:paraId="2A641052">
            <w:pPr>
              <w:pStyle w:val="27"/>
              <w:keepNext w:val="0"/>
              <w:keepLines w:val="0"/>
              <w:pageBreakBefore w:val="0"/>
              <w:wordWrap/>
              <w:topLinePunct w:val="0"/>
              <w:bidi w:val="0"/>
              <w:spacing w:line="360" w:lineRule="auto"/>
              <w:jc w:val="center"/>
              <w:textAlignment w:val="auto"/>
              <w:rPr>
                <w:rFonts w:hint="eastAsia" w:ascii="仿宋" w:hAnsi="仿宋" w:eastAsia="仿宋" w:cs="仿宋"/>
                <w:sz w:val="21"/>
                <w:szCs w:val="21"/>
                <w:highlight w:val="none"/>
                <w:lang w:val="en-US" w:eastAsia="zh-Hans"/>
              </w:rPr>
            </w:pPr>
            <w:r>
              <w:rPr>
                <w:rFonts w:hint="eastAsia" w:ascii="仿宋" w:hAnsi="仿宋" w:eastAsia="仿宋" w:cs="仿宋"/>
                <w:color w:val="auto"/>
                <w:kern w:val="0"/>
                <w:sz w:val="21"/>
                <w:szCs w:val="21"/>
                <w:highlight w:val="none"/>
              </w:rPr>
              <w:t>评审</w:t>
            </w:r>
            <w:r>
              <w:rPr>
                <w:rFonts w:hint="eastAsia" w:ascii="仿宋" w:hAnsi="仿宋" w:eastAsia="仿宋" w:cs="仿宋"/>
                <w:sz w:val="21"/>
                <w:szCs w:val="21"/>
                <w:highlight w:val="none"/>
              </w:rPr>
              <w:t>分值</w:t>
            </w:r>
          </w:p>
        </w:tc>
        <w:tc>
          <w:tcPr>
            <w:tcW w:w="3675" w:type="pct"/>
            <w:shd w:val="clear" w:color="auto" w:fill="auto"/>
            <w:vAlign w:val="center"/>
          </w:tcPr>
          <w:p w14:paraId="5011BC95">
            <w:pPr>
              <w:pStyle w:val="27"/>
              <w:keepNext w:val="0"/>
              <w:keepLines w:val="0"/>
              <w:pageBreakBefore w:val="0"/>
              <w:wordWrap/>
              <w:topLinePunct w:val="0"/>
              <w:bidi w:val="0"/>
              <w:spacing w:line="360" w:lineRule="auto"/>
              <w:jc w:val="center"/>
              <w:textAlignment w:val="auto"/>
              <w:rPr>
                <w:rFonts w:hint="eastAsia" w:ascii="仿宋" w:hAnsi="仿宋" w:eastAsia="仿宋" w:cs="仿宋"/>
                <w:sz w:val="21"/>
                <w:szCs w:val="21"/>
                <w:highlight w:val="none"/>
                <w:lang w:val="en-US" w:eastAsia="zh-Hans"/>
              </w:rPr>
            </w:pPr>
            <w:r>
              <w:rPr>
                <w:rFonts w:hint="eastAsia" w:ascii="仿宋" w:hAnsi="仿宋" w:eastAsia="仿宋" w:cs="仿宋"/>
                <w:color w:val="auto"/>
                <w:kern w:val="0"/>
                <w:sz w:val="21"/>
                <w:szCs w:val="21"/>
                <w:highlight w:val="none"/>
              </w:rPr>
              <w:t>评审方法描述</w:t>
            </w:r>
          </w:p>
        </w:tc>
      </w:tr>
      <w:tr w14:paraId="0C6C2C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03" w:hRule="exact"/>
        </w:trPr>
        <w:tc>
          <w:tcPr>
            <w:tcW w:w="713" w:type="pct"/>
            <w:vAlign w:val="center"/>
          </w:tcPr>
          <w:p w14:paraId="3A57F924">
            <w:pPr>
              <w:pStyle w:val="27"/>
              <w:keepNext w:val="0"/>
              <w:keepLines w:val="0"/>
              <w:pageBreakBefore w:val="0"/>
              <w:wordWrap/>
              <w:topLinePunct w:val="0"/>
              <w:bidi w:val="0"/>
              <w:spacing w:line="360" w:lineRule="auto"/>
              <w:jc w:val="left"/>
              <w:textAlignment w:val="auto"/>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w:t>
            </w:r>
            <w:r>
              <w:rPr>
                <w:rFonts w:hint="eastAsia" w:ascii="仿宋" w:hAnsi="仿宋" w:eastAsia="仿宋" w:cs="仿宋"/>
                <w:sz w:val="20"/>
                <w:szCs w:val="20"/>
                <w:highlight w:val="none"/>
              </w:rPr>
              <w:t>．</w:t>
            </w:r>
            <w:r>
              <w:rPr>
                <w:rFonts w:hint="eastAsia" w:ascii="仿宋" w:hAnsi="仿宋" w:eastAsia="仿宋" w:cs="仿宋"/>
                <w:sz w:val="20"/>
                <w:szCs w:val="20"/>
                <w:highlight w:val="none"/>
                <w:lang w:val="en-US" w:eastAsia="zh-CN"/>
              </w:rPr>
              <w:t>服务响应</w:t>
            </w:r>
          </w:p>
        </w:tc>
        <w:tc>
          <w:tcPr>
            <w:tcW w:w="611" w:type="pct"/>
            <w:vAlign w:val="center"/>
          </w:tcPr>
          <w:p w14:paraId="38A0A655">
            <w:pPr>
              <w:pStyle w:val="27"/>
              <w:keepNext w:val="0"/>
              <w:keepLines w:val="0"/>
              <w:pageBreakBefore w:val="0"/>
              <w:wordWrap/>
              <w:topLinePunct w:val="0"/>
              <w:bidi w:val="0"/>
              <w:spacing w:line="360" w:lineRule="auto"/>
              <w:jc w:val="center"/>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3</w:t>
            </w:r>
          </w:p>
        </w:tc>
        <w:tc>
          <w:tcPr>
            <w:tcW w:w="3675" w:type="pct"/>
            <w:vAlign w:val="center"/>
          </w:tcPr>
          <w:p w14:paraId="5F697B60">
            <w:pPr>
              <w:keepNext w:val="0"/>
              <w:keepLines w:val="0"/>
              <w:pageBreakBefore w:val="0"/>
              <w:wordWrap/>
              <w:topLinePunct w:val="0"/>
              <w:bidi w:val="0"/>
              <w:spacing w:line="360" w:lineRule="auto"/>
              <w:jc w:val="both"/>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提供承诺函（格式自拟），</w:t>
            </w:r>
            <w:r>
              <w:rPr>
                <w:rFonts w:hint="eastAsia" w:ascii="仿宋" w:hAnsi="仿宋" w:eastAsia="仿宋" w:cs="仿宋"/>
                <w:sz w:val="20"/>
                <w:szCs w:val="20"/>
                <w:highlight w:val="none"/>
                <w:lang w:eastAsia="zh-CN"/>
              </w:rPr>
              <w:t>参选人</w:t>
            </w:r>
            <w:r>
              <w:rPr>
                <w:rFonts w:hint="eastAsia" w:ascii="仿宋" w:hAnsi="仿宋" w:eastAsia="仿宋" w:cs="仿宋"/>
                <w:sz w:val="20"/>
                <w:szCs w:val="20"/>
                <w:highlight w:val="none"/>
              </w:rPr>
              <w:t>承诺中标后若在质保期间发生故障，提供7×24小时的的接受申告，</w:t>
            </w:r>
            <w:r>
              <w:rPr>
                <w:rFonts w:hint="eastAsia" w:ascii="仿宋" w:hAnsi="仿宋" w:eastAsia="仿宋" w:cs="仿宋"/>
                <w:sz w:val="20"/>
                <w:szCs w:val="20"/>
                <w:highlight w:val="none"/>
                <w:lang w:val="en-US" w:eastAsia="zh-CN"/>
              </w:rPr>
              <w:t>在</w:t>
            </w:r>
            <w:r>
              <w:rPr>
                <w:rFonts w:hint="eastAsia" w:ascii="仿宋" w:hAnsi="仿宋" w:eastAsia="仿宋" w:cs="仿宋"/>
                <w:sz w:val="20"/>
                <w:szCs w:val="20"/>
                <w:highlight w:val="none"/>
              </w:rPr>
              <w:t>接到现场故障处理通知后4个小时内到达现场处理，得3分；在接到故障通知后6个小时内到达现场处理，得2分；接到故障通知后8个小时内到达现场处理，得1分。其余不得分。（满分</w:t>
            </w:r>
            <w:r>
              <w:rPr>
                <w:rFonts w:hint="eastAsia" w:ascii="仿宋" w:hAnsi="仿宋" w:eastAsia="仿宋" w:cs="仿宋"/>
                <w:sz w:val="20"/>
                <w:szCs w:val="20"/>
                <w:highlight w:val="none"/>
                <w:lang w:val="en-US" w:eastAsia="zh-CN"/>
              </w:rPr>
              <w:t>3</w:t>
            </w:r>
            <w:r>
              <w:rPr>
                <w:rFonts w:hint="eastAsia" w:ascii="仿宋" w:hAnsi="仿宋" w:eastAsia="仿宋" w:cs="仿宋"/>
                <w:sz w:val="20"/>
                <w:szCs w:val="20"/>
                <w:highlight w:val="none"/>
              </w:rPr>
              <w:t>分）</w:t>
            </w:r>
          </w:p>
        </w:tc>
      </w:tr>
      <w:tr w14:paraId="7236C3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84" w:hRule="exact"/>
        </w:trPr>
        <w:tc>
          <w:tcPr>
            <w:tcW w:w="713" w:type="pct"/>
            <w:vAlign w:val="center"/>
          </w:tcPr>
          <w:p w14:paraId="1A9A67C0">
            <w:pPr>
              <w:pStyle w:val="27"/>
              <w:keepNext w:val="0"/>
              <w:keepLines w:val="0"/>
              <w:pageBreakBefore w:val="0"/>
              <w:wordWrap/>
              <w:topLinePunct w:val="0"/>
              <w:bidi w:val="0"/>
              <w:spacing w:line="360" w:lineRule="auto"/>
              <w:jc w:val="left"/>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2</w:t>
            </w:r>
            <w:r>
              <w:rPr>
                <w:rFonts w:hint="eastAsia" w:ascii="仿宋" w:hAnsi="仿宋" w:eastAsia="仿宋" w:cs="仿宋"/>
                <w:sz w:val="20"/>
                <w:szCs w:val="20"/>
                <w:highlight w:val="none"/>
              </w:rPr>
              <w:t>．业绩</w:t>
            </w:r>
          </w:p>
        </w:tc>
        <w:tc>
          <w:tcPr>
            <w:tcW w:w="611" w:type="pct"/>
            <w:vAlign w:val="center"/>
          </w:tcPr>
          <w:p w14:paraId="4456BA99">
            <w:pPr>
              <w:pStyle w:val="27"/>
              <w:keepNext w:val="0"/>
              <w:keepLines w:val="0"/>
              <w:pageBreakBefore w:val="0"/>
              <w:wordWrap/>
              <w:topLinePunct w:val="0"/>
              <w:bidi w:val="0"/>
              <w:spacing w:line="360" w:lineRule="auto"/>
              <w:jc w:val="center"/>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3</w:t>
            </w:r>
          </w:p>
        </w:tc>
        <w:tc>
          <w:tcPr>
            <w:tcW w:w="3675" w:type="pct"/>
            <w:vAlign w:val="center"/>
          </w:tcPr>
          <w:p w14:paraId="7256686B">
            <w:pPr>
              <w:pStyle w:val="2"/>
              <w:numPr>
                <w:ilvl w:val="0"/>
                <w:numId w:val="0"/>
              </w:numPr>
              <w:spacing w:beforeLines="0" w:afterLines="0" w:line="360" w:lineRule="auto"/>
              <w:rPr>
                <w:rFonts w:hint="eastAsia" w:ascii="仿宋" w:hAnsi="仿宋" w:eastAsia="仿宋" w:cs="仿宋"/>
                <w:sz w:val="20"/>
                <w:szCs w:val="20"/>
                <w:highlight w:val="none"/>
              </w:rPr>
            </w:pPr>
            <w:r>
              <w:rPr>
                <w:rFonts w:hint="eastAsia" w:ascii="仿宋" w:hAnsi="仿宋" w:eastAsia="仿宋" w:cs="仿宋"/>
                <w:kern w:val="0"/>
                <w:sz w:val="20"/>
                <w:szCs w:val="20"/>
                <w:highlight w:val="none"/>
                <w:lang w:val="en-US" w:eastAsia="zh-CN" w:bidi="ar-SA"/>
              </w:rPr>
              <w:t>参选人自2022年1月1日起至参选截止时间（时间以合同签订时间为准）承接过能源化工类企业的会议相关项目业绩，每提供1个有效项目业绩得1分。（提供中选公告截图或中选通知书复印件或项目合同复印件或项目验收报告，并加盖参选人公章，否则不得分。）</w:t>
            </w:r>
            <w:r>
              <w:rPr>
                <w:rFonts w:hint="eastAsia" w:ascii="仿宋" w:hAnsi="仿宋" w:eastAsia="仿宋" w:cs="仿宋"/>
                <w:sz w:val="20"/>
                <w:szCs w:val="20"/>
                <w:highlight w:val="none"/>
              </w:rPr>
              <w:t>（满分</w:t>
            </w:r>
            <w:r>
              <w:rPr>
                <w:rFonts w:hint="eastAsia" w:ascii="仿宋" w:hAnsi="仿宋" w:eastAsia="仿宋" w:cs="仿宋"/>
                <w:sz w:val="20"/>
                <w:szCs w:val="20"/>
                <w:highlight w:val="none"/>
                <w:lang w:val="en-US" w:eastAsia="zh-CN"/>
              </w:rPr>
              <w:t>3</w:t>
            </w:r>
            <w:r>
              <w:rPr>
                <w:rFonts w:hint="eastAsia" w:ascii="仿宋" w:hAnsi="仿宋" w:eastAsia="仿宋" w:cs="仿宋"/>
                <w:sz w:val="20"/>
                <w:szCs w:val="20"/>
                <w:highlight w:val="none"/>
              </w:rPr>
              <w:t>分）</w:t>
            </w:r>
          </w:p>
        </w:tc>
      </w:tr>
      <w:tr w14:paraId="5DAF5E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63" w:hRule="exact"/>
        </w:trPr>
        <w:tc>
          <w:tcPr>
            <w:tcW w:w="713" w:type="pct"/>
            <w:vAlign w:val="center"/>
          </w:tcPr>
          <w:p w14:paraId="08E8B373">
            <w:pPr>
              <w:pStyle w:val="27"/>
              <w:keepNext w:val="0"/>
              <w:keepLines w:val="0"/>
              <w:pageBreakBefore w:val="0"/>
              <w:wordWrap/>
              <w:topLinePunct w:val="0"/>
              <w:bidi w:val="0"/>
              <w:spacing w:line="360" w:lineRule="auto"/>
              <w:jc w:val="left"/>
              <w:textAlignment w:val="auto"/>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3.建设工期</w:t>
            </w:r>
          </w:p>
        </w:tc>
        <w:tc>
          <w:tcPr>
            <w:tcW w:w="611" w:type="pct"/>
            <w:vAlign w:val="center"/>
          </w:tcPr>
          <w:p w14:paraId="6066F558">
            <w:pPr>
              <w:pStyle w:val="27"/>
              <w:keepNext w:val="0"/>
              <w:keepLines w:val="0"/>
              <w:pageBreakBefore w:val="0"/>
              <w:wordWrap/>
              <w:topLinePunct w:val="0"/>
              <w:bidi w:val="0"/>
              <w:spacing w:line="360" w:lineRule="auto"/>
              <w:jc w:val="center"/>
              <w:textAlignment w:val="auto"/>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w:t>
            </w:r>
          </w:p>
        </w:tc>
        <w:tc>
          <w:tcPr>
            <w:tcW w:w="3675" w:type="pct"/>
            <w:vAlign w:val="center"/>
          </w:tcPr>
          <w:p w14:paraId="22B6D6E4">
            <w:pPr>
              <w:keepNext w:val="0"/>
              <w:keepLines w:val="0"/>
              <w:pageBreakBefore w:val="0"/>
              <w:wordWrap/>
              <w:topLinePunct w:val="0"/>
              <w:bidi w:val="0"/>
              <w:spacing w:line="360" w:lineRule="auto"/>
              <w:jc w:val="both"/>
              <w:textAlignment w:val="auto"/>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提供承诺函（格式自拟），参选人承诺能在收到中选通知书后7个日历日内启动项目，并在</w:t>
            </w:r>
            <w:r>
              <w:rPr>
                <w:rFonts w:hint="eastAsia" w:ascii="仿宋" w:hAnsi="仿宋" w:eastAsia="仿宋" w:cs="仿宋"/>
                <w:spacing w:val="-1"/>
                <w:sz w:val="20"/>
                <w:szCs w:val="20"/>
                <w:highlight w:val="none"/>
                <w:lang w:val="en-US" w:eastAsia="zh-CN"/>
              </w:rPr>
              <w:t>30</w:t>
            </w:r>
            <w:r>
              <w:rPr>
                <w:rFonts w:hint="eastAsia" w:ascii="仿宋" w:hAnsi="仿宋" w:eastAsia="仿宋" w:cs="仿宋"/>
                <w:spacing w:val="-1"/>
                <w:sz w:val="20"/>
                <w:szCs w:val="20"/>
                <w:highlight w:val="none"/>
              </w:rPr>
              <w:t>个日历日内完成设备到货、安装及调</w:t>
            </w:r>
            <w:r>
              <w:rPr>
                <w:rFonts w:hint="eastAsia" w:ascii="仿宋" w:hAnsi="仿宋" w:eastAsia="仿宋" w:cs="仿宋"/>
                <w:spacing w:val="-2"/>
                <w:sz w:val="20"/>
                <w:szCs w:val="20"/>
                <w:highlight w:val="none"/>
              </w:rPr>
              <w:t>试</w:t>
            </w:r>
            <w:r>
              <w:rPr>
                <w:rFonts w:hint="eastAsia" w:ascii="仿宋" w:hAnsi="仿宋" w:eastAsia="仿宋" w:cs="仿宋"/>
                <w:sz w:val="20"/>
                <w:szCs w:val="20"/>
                <w:highlight w:val="none"/>
                <w:lang w:val="en-US" w:eastAsia="zh-CN"/>
              </w:rPr>
              <w:t>的，得2分，否则不得分。</w:t>
            </w:r>
            <w:r>
              <w:rPr>
                <w:rFonts w:hint="eastAsia" w:ascii="仿宋" w:hAnsi="仿宋" w:eastAsia="仿宋" w:cs="仿宋"/>
                <w:sz w:val="20"/>
                <w:szCs w:val="20"/>
                <w:highlight w:val="none"/>
              </w:rPr>
              <w:t>（满分</w:t>
            </w:r>
            <w:r>
              <w:rPr>
                <w:rFonts w:hint="eastAsia" w:ascii="仿宋" w:hAnsi="仿宋" w:eastAsia="仿宋" w:cs="仿宋"/>
                <w:sz w:val="20"/>
                <w:szCs w:val="20"/>
                <w:highlight w:val="none"/>
                <w:lang w:val="en-US" w:eastAsia="zh-CN"/>
              </w:rPr>
              <w:t>2</w:t>
            </w:r>
            <w:r>
              <w:rPr>
                <w:rFonts w:hint="eastAsia" w:ascii="仿宋" w:hAnsi="仿宋" w:eastAsia="仿宋" w:cs="仿宋"/>
                <w:sz w:val="20"/>
                <w:szCs w:val="20"/>
                <w:highlight w:val="none"/>
              </w:rPr>
              <w:t>分）</w:t>
            </w:r>
          </w:p>
        </w:tc>
      </w:tr>
      <w:tr w14:paraId="2DA265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64" w:hRule="exact"/>
        </w:trPr>
        <w:tc>
          <w:tcPr>
            <w:tcW w:w="713" w:type="pct"/>
            <w:vAlign w:val="center"/>
          </w:tcPr>
          <w:p w14:paraId="2305B04F">
            <w:pPr>
              <w:pStyle w:val="27"/>
              <w:keepNext w:val="0"/>
              <w:keepLines w:val="0"/>
              <w:pageBreakBefore w:val="0"/>
              <w:numPr>
                <w:ilvl w:val="0"/>
                <w:numId w:val="0"/>
              </w:numPr>
              <w:wordWrap/>
              <w:topLinePunct w:val="0"/>
              <w:bidi w:val="0"/>
              <w:spacing w:line="360" w:lineRule="auto"/>
              <w:ind w:leftChars="0"/>
              <w:jc w:val="left"/>
              <w:textAlignment w:val="auto"/>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4. 售后服务</w:t>
            </w:r>
          </w:p>
        </w:tc>
        <w:tc>
          <w:tcPr>
            <w:tcW w:w="611" w:type="pct"/>
            <w:vAlign w:val="center"/>
          </w:tcPr>
          <w:p w14:paraId="00254BE8">
            <w:pPr>
              <w:pStyle w:val="27"/>
              <w:keepNext w:val="0"/>
              <w:keepLines w:val="0"/>
              <w:pageBreakBefore w:val="0"/>
              <w:wordWrap/>
              <w:topLinePunct w:val="0"/>
              <w:bidi w:val="0"/>
              <w:spacing w:line="360" w:lineRule="auto"/>
              <w:jc w:val="center"/>
              <w:textAlignment w:val="auto"/>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w:t>
            </w:r>
          </w:p>
        </w:tc>
        <w:tc>
          <w:tcPr>
            <w:tcW w:w="3675" w:type="pct"/>
            <w:vAlign w:val="center"/>
          </w:tcPr>
          <w:p w14:paraId="5C96BAE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sz w:val="20"/>
                <w:szCs w:val="20"/>
                <w:highlight w:val="none"/>
                <w:lang w:val="en-US" w:eastAsia="zh-CN"/>
              </w:rPr>
            </w:pPr>
            <w:r>
              <w:rPr>
                <w:rFonts w:hint="eastAsia" w:ascii="仿宋" w:hAnsi="仿宋" w:eastAsia="仿宋" w:cs="仿宋"/>
                <w:kern w:val="2"/>
                <w:sz w:val="20"/>
                <w:szCs w:val="20"/>
                <w:highlight w:val="none"/>
                <w:lang w:val="en-US" w:eastAsia="zh-CN" w:bidi="ar-SA"/>
              </w:rPr>
              <w:t>提供承诺函（格式自拟），参选人承诺售后服务内容、响应方式、故障响应时间、服务周期等，</w:t>
            </w:r>
            <w:r>
              <w:rPr>
                <w:rFonts w:hint="eastAsia" w:ascii="仿宋" w:hAnsi="仿宋" w:eastAsia="仿宋" w:cs="仿宋"/>
                <w:sz w:val="20"/>
                <w:szCs w:val="20"/>
                <w:highlight w:val="none"/>
                <w:lang w:val="en-US" w:eastAsia="zh-CN"/>
              </w:rPr>
              <w:t>得2分，</w:t>
            </w:r>
            <w:r>
              <w:rPr>
                <w:rFonts w:hint="eastAsia" w:ascii="仿宋" w:hAnsi="仿宋" w:eastAsia="仿宋" w:cs="仿宋"/>
                <w:sz w:val="20"/>
                <w:szCs w:val="20"/>
                <w:highlight w:val="none"/>
              </w:rPr>
              <w:t>未提供的或提供不符合要求的不得分。（满分</w:t>
            </w:r>
            <w:r>
              <w:rPr>
                <w:rFonts w:hint="eastAsia" w:ascii="仿宋" w:hAnsi="仿宋" w:eastAsia="仿宋" w:cs="仿宋"/>
                <w:sz w:val="20"/>
                <w:szCs w:val="20"/>
                <w:highlight w:val="none"/>
                <w:lang w:val="en-US" w:eastAsia="zh-CN"/>
              </w:rPr>
              <w:t>2</w:t>
            </w:r>
            <w:r>
              <w:rPr>
                <w:rFonts w:hint="eastAsia" w:ascii="仿宋" w:hAnsi="仿宋" w:eastAsia="仿宋" w:cs="仿宋"/>
                <w:sz w:val="20"/>
                <w:szCs w:val="20"/>
                <w:highlight w:val="none"/>
              </w:rPr>
              <w:t>分）</w:t>
            </w:r>
          </w:p>
        </w:tc>
      </w:tr>
    </w:tbl>
    <w:p w14:paraId="4339534F">
      <w:pPr>
        <w:pStyle w:val="23"/>
      </w:pPr>
    </w:p>
    <w:p w14:paraId="3EABE92B">
      <w:pPr>
        <w:autoSpaceDE w:val="0"/>
        <w:autoSpaceDN w:val="0"/>
        <w:spacing w:line="560" w:lineRule="exact"/>
        <w:ind w:firstLine="562" w:firstLineChars="200"/>
        <w:rPr>
          <w:rFonts w:ascii="Times New Roman" w:hAnsi="Times New Roman" w:eastAsia="仿宋"/>
          <w:b/>
          <w:bCs/>
          <w:snapToGrid w:val="0"/>
          <w:sz w:val="28"/>
          <w:szCs w:val="28"/>
        </w:rPr>
      </w:pPr>
      <w:r>
        <w:rPr>
          <w:rFonts w:hint="eastAsia" w:ascii="Times New Roman" w:hAnsi="Times New Roman" w:eastAsia="仿宋"/>
          <w:b/>
          <w:bCs/>
          <w:snapToGrid w:val="0"/>
          <w:sz w:val="28"/>
          <w:szCs w:val="28"/>
        </w:rPr>
        <w:t>3.2 评选原则</w:t>
      </w:r>
    </w:p>
    <w:p w14:paraId="13A65348">
      <w:pPr>
        <w:spacing w:line="560" w:lineRule="exact"/>
        <w:ind w:firstLine="480" w:firstLineChars="200"/>
        <w:rPr>
          <w:rFonts w:ascii="Times New Roman" w:hAnsi="Times New Roman" w:eastAsia="仿宋"/>
          <w:color w:val="000000"/>
        </w:rPr>
      </w:pPr>
      <w:bookmarkStart w:id="278" w:name="_Toc20498"/>
      <w:bookmarkStart w:id="279" w:name="_Toc7348"/>
      <w:bookmarkStart w:id="280" w:name="_Toc91421112"/>
      <w:bookmarkStart w:id="281" w:name="_Toc5462"/>
      <w:bookmarkStart w:id="282" w:name="_Toc31870"/>
      <w:bookmarkStart w:id="283" w:name="_Toc1596"/>
      <w:bookmarkStart w:id="284" w:name="_Toc22866"/>
      <w:bookmarkStart w:id="285" w:name="_Toc567"/>
      <w:r>
        <w:rPr>
          <w:rFonts w:hint="eastAsia" w:ascii="Times New Roman" w:hAnsi="Times New Roman" w:eastAsia="仿宋"/>
          <w:color w:val="000000"/>
        </w:rPr>
        <w:t>3.2.1比选小组负责审查参选文件是否符合自主比选文件的要求。比选小组认为必要时，可向参选人进行质疑并要求其解释。比选小组有权决定全部或部分废选。</w:t>
      </w:r>
    </w:p>
    <w:p w14:paraId="010530C0">
      <w:pPr>
        <w:spacing w:line="560" w:lineRule="exact"/>
        <w:ind w:firstLine="480" w:firstLineChars="200"/>
        <w:rPr>
          <w:rFonts w:ascii="Times New Roman" w:hAnsi="Times New Roman" w:eastAsia="仿宋"/>
          <w:color w:val="000000"/>
        </w:rPr>
      </w:pPr>
      <w:r>
        <w:rPr>
          <w:rFonts w:hint="eastAsia" w:ascii="Times New Roman" w:hAnsi="Times New Roman" w:eastAsia="仿宋"/>
          <w:color w:val="000000"/>
        </w:rPr>
        <w:t>3.2.2比选小组就所有参选文件是否对自主比选文件的实质性要求做出完全响应进行审查，确定合格参选人。</w:t>
      </w:r>
    </w:p>
    <w:p w14:paraId="1DA9E77C">
      <w:pPr>
        <w:spacing w:line="560" w:lineRule="exact"/>
        <w:ind w:firstLine="480" w:firstLineChars="200"/>
        <w:rPr>
          <w:rFonts w:ascii="Times New Roman" w:hAnsi="Times New Roman" w:eastAsia="仿宋"/>
          <w:color w:val="000000"/>
        </w:rPr>
      </w:pPr>
      <w:r>
        <w:rPr>
          <w:rFonts w:hint="eastAsia" w:ascii="Times New Roman" w:hAnsi="Times New Roman" w:eastAsia="仿宋"/>
          <w:color w:val="000000"/>
        </w:rPr>
        <w:t>3.2.3比选前后，比选人将视情况需要再考虑是否安排比选小组与参选人双方作技术和商务交流，届时比选小组将对参选文件中有关问题分别向参选人进行询问，各参选人应予以认真答复。比选人认为重要或复杂问题的回答须以书面形式，并经参选人法定代表人或参选代表签署。参选人的回答文件将作为“参选文件”的组成部分。</w:t>
      </w:r>
    </w:p>
    <w:p w14:paraId="55AE39C9">
      <w:pPr>
        <w:pStyle w:val="5"/>
        <w:widowControl/>
        <w:spacing w:before="0" w:after="0" w:line="560" w:lineRule="exact"/>
        <w:ind w:left="576"/>
        <w:jc w:val="left"/>
        <w:rPr>
          <w:rFonts w:ascii="Times New Roman" w:hAnsi="Times New Roman" w:eastAsia="仿宋"/>
        </w:rPr>
      </w:pPr>
      <w:bookmarkStart w:id="286" w:name="_Toc15560"/>
      <w:bookmarkStart w:id="287" w:name="_Toc28930"/>
      <w:bookmarkStart w:id="288" w:name="_Toc8452"/>
      <w:r>
        <w:rPr>
          <w:rFonts w:hint="eastAsia" w:ascii="Times New Roman" w:hAnsi="Times New Roman" w:eastAsia="仿宋"/>
        </w:rPr>
        <w:t>四、以下情况作废选处理</w:t>
      </w:r>
      <w:bookmarkEnd w:id="277"/>
      <w:bookmarkEnd w:id="278"/>
      <w:bookmarkEnd w:id="279"/>
      <w:bookmarkEnd w:id="280"/>
      <w:bookmarkEnd w:id="281"/>
      <w:bookmarkEnd w:id="282"/>
      <w:bookmarkEnd w:id="283"/>
      <w:bookmarkEnd w:id="284"/>
      <w:bookmarkEnd w:id="285"/>
      <w:bookmarkEnd w:id="286"/>
      <w:bookmarkEnd w:id="287"/>
      <w:bookmarkEnd w:id="288"/>
    </w:p>
    <w:p w14:paraId="12AF237B">
      <w:pPr>
        <w:numPr>
          <w:ilvl w:val="0"/>
          <w:numId w:val="16"/>
        </w:numPr>
        <w:autoSpaceDE w:val="0"/>
        <w:autoSpaceDN w:val="0"/>
        <w:spacing w:line="560" w:lineRule="exact"/>
        <w:ind w:firstLine="480" w:firstLineChars="200"/>
        <w:rPr>
          <w:rFonts w:ascii="Times New Roman" w:hAnsi="Times New Roman" w:eastAsia="仿宋"/>
          <w:snapToGrid w:val="0"/>
        </w:rPr>
      </w:pPr>
      <w:r>
        <w:rPr>
          <w:rFonts w:hint="eastAsia" w:ascii="Times New Roman" w:hAnsi="Times New Roman" w:eastAsia="仿宋"/>
          <w:snapToGrid w:val="0"/>
        </w:rPr>
        <w:t>对比选文件提出的实质性要求和条件，参选文件未能在实质上响应的。</w:t>
      </w:r>
    </w:p>
    <w:p w14:paraId="6D76739E">
      <w:pPr>
        <w:numPr>
          <w:ilvl w:val="0"/>
          <w:numId w:val="16"/>
        </w:numPr>
        <w:autoSpaceDE w:val="0"/>
        <w:autoSpaceDN w:val="0"/>
        <w:spacing w:line="560" w:lineRule="exact"/>
        <w:ind w:firstLine="480" w:firstLineChars="200"/>
        <w:rPr>
          <w:rFonts w:ascii="Times New Roman" w:hAnsi="Times New Roman" w:eastAsia="仿宋"/>
          <w:snapToGrid w:val="0"/>
        </w:rPr>
      </w:pPr>
      <w:r>
        <w:rPr>
          <w:rFonts w:hint="eastAsia" w:ascii="Times New Roman" w:hAnsi="Times New Roman" w:eastAsia="仿宋"/>
          <w:snapToGrid w:val="0"/>
        </w:rPr>
        <w:t>参选文件存在重大偏差的。</w:t>
      </w:r>
    </w:p>
    <w:p w14:paraId="54662C1C">
      <w:pPr>
        <w:numPr>
          <w:ilvl w:val="0"/>
          <w:numId w:val="16"/>
        </w:numPr>
        <w:autoSpaceDE w:val="0"/>
        <w:autoSpaceDN w:val="0"/>
        <w:spacing w:line="560" w:lineRule="exact"/>
        <w:ind w:firstLine="480" w:firstLineChars="200"/>
        <w:rPr>
          <w:rFonts w:ascii="Times New Roman" w:hAnsi="Times New Roman" w:eastAsia="仿宋"/>
          <w:snapToGrid w:val="0"/>
        </w:rPr>
      </w:pPr>
      <w:r>
        <w:rPr>
          <w:rFonts w:hint="eastAsia" w:ascii="Times New Roman" w:hAnsi="Times New Roman" w:eastAsia="仿宋"/>
          <w:snapToGrid w:val="0"/>
        </w:rPr>
        <w:t>未按规定格式要求编制参选文件的，或未对参选文件密封且加盖公章的。</w:t>
      </w:r>
    </w:p>
    <w:p w14:paraId="74681D4A">
      <w:pPr>
        <w:numPr>
          <w:ilvl w:val="0"/>
          <w:numId w:val="16"/>
        </w:numPr>
        <w:autoSpaceDE w:val="0"/>
        <w:autoSpaceDN w:val="0"/>
        <w:spacing w:line="560" w:lineRule="exact"/>
        <w:ind w:firstLine="480" w:firstLineChars="200"/>
        <w:rPr>
          <w:rFonts w:ascii="Times New Roman" w:hAnsi="Times New Roman" w:eastAsia="仿宋"/>
          <w:snapToGrid w:val="0"/>
        </w:rPr>
      </w:pPr>
      <w:r>
        <w:rPr>
          <w:rFonts w:hint="eastAsia" w:ascii="Times New Roman" w:hAnsi="Times New Roman" w:eastAsia="仿宋"/>
          <w:snapToGrid w:val="0"/>
        </w:rPr>
        <w:t>违反规定影响开选、比选工作或采取其他方式对比选人施加影响的。</w:t>
      </w:r>
    </w:p>
    <w:p w14:paraId="642C3808">
      <w:pPr>
        <w:numPr>
          <w:ilvl w:val="0"/>
          <w:numId w:val="16"/>
        </w:numPr>
        <w:autoSpaceDE w:val="0"/>
        <w:autoSpaceDN w:val="0"/>
        <w:spacing w:line="560" w:lineRule="exact"/>
        <w:ind w:firstLine="480" w:firstLineChars="200"/>
        <w:rPr>
          <w:rFonts w:ascii="Times New Roman" w:hAnsi="Times New Roman" w:eastAsia="仿宋"/>
          <w:snapToGrid w:val="0"/>
        </w:rPr>
      </w:pPr>
      <w:r>
        <w:rPr>
          <w:rFonts w:hint="eastAsia" w:ascii="Times New Roman" w:hAnsi="Times New Roman" w:eastAsia="仿宋"/>
          <w:snapToGrid w:val="0"/>
        </w:rPr>
        <w:t>参选人串选、相互勾结故意压低价格以排挤竞争对手违背公平竞争的。</w:t>
      </w:r>
    </w:p>
    <w:p w14:paraId="41168193">
      <w:pPr>
        <w:numPr>
          <w:ilvl w:val="0"/>
          <w:numId w:val="16"/>
        </w:numPr>
        <w:autoSpaceDE w:val="0"/>
        <w:autoSpaceDN w:val="0"/>
        <w:spacing w:line="560" w:lineRule="exact"/>
        <w:ind w:firstLine="480" w:firstLineChars="200"/>
        <w:rPr>
          <w:rFonts w:ascii="Times New Roman" w:hAnsi="Times New Roman" w:eastAsia="仿宋"/>
          <w:snapToGrid w:val="0"/>
        </w:rPr>
      </w:pPr>
      <w:r>
        <w:rPr>
          <w:rFonts w:hint="eastAsia" w:ascii="Times New Roman" w:hAnsi="Times New Roman" w:eastAsia="仿宋"/>
          <w:snapToGrid w:val="0"/>
        </w:rPr>
        <w:t>法律法规或本比选文件规定的其他情形。</w:t>
      </w:r>
    </w:p>
    <w:p w14:paraId="34467FB8">
      <w:pPr>
        <w:pStyle w:val="5"/>
        <w:widowControl/>
        <w:spacing w:before="0" w:after="0" w:line="560" w:lineRule="exact"/>
        <w:ind w:left="576"/>
        <w:jc w:val="left"/>
        <w:rPr>
          <w:rFonts w:ascii="Times New Roman" w:hAnsi="Times New Roman" w:eastAsia="仿宋"/>
        </w:rPr>
      </w:pPr>
      <w:bookmarkStart w:id="289" w:name="_Toc22426"/>
      <w:bookmarkStart w:id="290" w:name="_Toc664"/>
      <w:bookmarkStart w:id="291" w:name="_Toc26931"/>
      <w:bookmarkStart w:id="292" w:name="_Toc21885"/>
      <w:bookmarkStart w:id="293" w:name="_Toc12923"/>
      <w:bookmarkStart w:id="294" w:name="_Toc29299"/>
      <w:bookmarkStart w:id="295" w:name="_Toc7585"/>
      <w:bookmarkStart w:id="296" w:name="_Toc91421113"/>
      <w:bookmarkStart w:id="297" w:name="_Toc13024"/>
      <w:bookmarkStart w:id="298" w:name="_Toc2126"/>
      <w:bookmarkStart w:id="299" w:name="_Toc28395"/>
      <w:bookmarkStart w:id="300" w:name="_Toc14247"/>
      <w:r>
        <w:rPr>
          <w:rFonts w:hint="eastAsia" w:ascii="Times New Roman" w:hAnsi="Times New Roman" w:eastAsia="仿宋"/>
        </w:rPr>
        <w:t>五、评选</w:t>
      </w:r>
      <w:bookmarkEnd w:id="289"/>
      <w:bookmarkEnd w:id="290"/>
      <w:bookmarkEnd w:id="291"/>
      <w:bookmarkEnd w:id="292"/>
      <w:bookmarkEnd w:id="293"/>
      <w:bookmarkEnd w:id="294"/>
      <w:bookmarkEnd w:id="295"/>
      <w:bookmarkEnd w:id="296"/>
      <w:bookmarkEnd w:id="297"/>
      <w:bookmarkEnd w:id="298"/>
      <w:bookmarkEnd w:id="299"/>
      <w:bookmarkEnd w:id="300"/>
    </w:p>
    <w:p w14:paraId="02A19A40">
      <w:pPr>
        <w:autoSpaceDE w:val="0"/>
        <w:autoSpaceDN w:val="0"/>
        <w:spacing w:line="560" w:lineRule="exact"/>
        <w:ind w:firstLine="480" w:firstLineChars="200"/>
        <w:rPr>
          <w:rFonts w:ascii="Times New Roman" w:hAnsi="Times New Roman" w:eastAsia="仿宋"/>
          <w:snapToGrid w:val="0"/>
        </w:rPr>
      </w:pPr>
      <w:r>
        <w:rPr>
          <w:rFonts w:hint="eastAsia" w:ascii="Times New Roman" w:hAnsi="Times New Roman" w:eastAsia="仿宋"/>
          <w:snapToGrid w:val="0"/>
        </w:rPr>
        <w:t>1. 比选人将在参选文件截止日期后另行选择开选时间，参选人选定工作在比选人有关部门监督下，由比选人按照有关规定组建的比选小组负责。</w:t>
      </w:r>
    </w:p>
    <w:p w14:paraId="7B1396E1">
      <w:pPr>
        <w:autoSpaceDE w:val="0"/>
        <w:autoSpaceDN w:val="0"/>
        <w:spacing w:line="560" w:lineRule="exact"/>
        <w:ind w:firstLine="480" w:firstLineChars="200"/>
        <w:rPr>
          <w:rFonts w:ascii="Times New Roman" w:hAnsi="Times New Roman"/>
          <w:snapToGrid w:val="0"/>
        </w:rPr>
      </w:pPr>
      <w:r>
        <w:rPr>
          <w:rFonts w:hint="eastAsia" w:ascii="Times New Roman" w:hAnsi="Times New Roman" w:eastAsia="仿宋"/>
          <w:snapToGrid w:val="0"/>
        </w:rPr>
        <w:t>2. 比选人将做比选记录。</w:t>
      </w:r>
      <w:r>
        <w:rPr>
          <w:rFonts w:ascii="Times New Roman" w:hAnsi="Times New Roman"/>
          <w:snapToGrid w:val="0"/>
        </w:rPr>
        <w:br w:type="page"/>
      </w:r>
    </w:p>
    <w:p w14:paraId="740F9663">
      <w:pPr>
        <w:numPr>
          <w:ilvl w:val="0"/>
          <w:numId w:val="9"/>
        </w:numPr>
        <w:jc w:val="center"/>
        <w:outlineLvl w:val="0"/>
        <w:rPr>
          <w:rFonts w:hint="eastAsia" w:ascii="Times New Roman" w:hAnsi="Times New Roman" w:eastAsia="仿宋" w:cs="Arial"/>
          <w:b/>
          <w:bCs/>
          <w:kern w:val="2"/>
          <w:sz w:val="44"/>
          <w:szCs w:val="44"/>
        </w:rPr>
      </w:pPr>
      <w:bookmarkStart w:id="301" w:name="_Toc32717"/>
      <w:bookmarkStart w:id="302" w:name="_Toc91421114"/>
      <w:bookmarkStart w:id="303" w:name="_Toc7434"/>
      <w:bookmarkStart w:id="304" w:name="_Toc24899"/>
      <w:bookmarkStart w:id="305" w:name="_Toc27056"/>
      <w:bookmarkStart w:id="306" w:name="_Toc9926"/>
      <w:bookmarkStart w:id="307" w:name="_Toc8032"/>
      <w:bookmarkStart w:id="308" w:name="_Toc486321060"/>
      <w:bookmarkStart w:id="309" w:name="_Toc21779"/>
      <w:bookmarkStart w:id="310" w:name="_Toc25171"/>
      <w:bookmarkStart w:id="311" w:name="_Toc5923"/>
      <w:bookmarkStart w:id="312" w:name="_Toc29420"/>
      <w:bookmarkStart w:id="313" w:name="_Toc6811"/>
      <w:r>
        <w:rPr>
          <w:rFonts w:hint="eastAsia" w:ascii="Times New Roman" w:hAnsi="Times New Roman" w:eastAsia="仿宋" w:cs="Arial"/>
          <w:b/>
          <w:bCs/>
          <w:kern w:val="2"/>
          <w:sz w:val="44"/>
          <w:szCs w:val="44"/>
        </w:rPr>
        <w:t>合同授予</w:t>
      </w:r>
      <w:bookmarkEnd w:id="301"/>
      <w:bookmarkEnd w:id="302"/>
      <w:bookmarkEnd w:id="303"/>
      <w:bookmarkEnd w:id="304"/>
      <w:bookmarkEnd w:id="305"/>
      <w:bookmarkEnd w:id="306"/>
      <w:bookmarkEnd w:id="307"/>
      <w:bookmarkEnd w:id="308"/>
      <w:bookmarkEnd w:id="309"/>
      <w:bookmarkEnd w:id="310"/>
      <w:bookmarkEnd w:id="311"/>
      <w:bookmarkEnd w:id="312"/>
      <w:bookmarkEnd w:id="313"/>
    </w:p>
    <w:p w14:paraId="5D0B2D12">
      <w:pPr>
        <w:spacing w:line="560" w:lineRule="exact"/>
        <w:rPr>
          <w:rFonts w:ascii="Times New Roman" w:hAnsi="Times New Roman"/>
          <w:szCs w:val="28"/>
        </w:rPr>
      </w:pPr>
    </w:p>
    <w:p w14:paraId="72037CE1">
      <w:pPr>
        <w:autoSpaceDE w:val="0"/>
        <w:autoSpaceDN w:val="0"/>
        <w:spacing w:line="560" w:lineRule="exact"/>
        <w:ind w:firstLine="480" w:firstLineChars="200"/>
        <w:rPr>
          <w:rFonts w:ascii="Times New Roman" w:hAnsi="Times New Roman" w:eastAsia="仿宋"/>
          <w:snapToGrid w:val="0"/>
        </w:rPr>
      </w:pPr>
      <w:r>
        <w:rPr>
          <w:rFonts w:hint="eastAsia" w:ascii="Times New Roman" w:hAnsi="Times New Roman" w:eastAsia="仿宋"/>
          <w:snapToGrid w:val="0"/>
        </w:rPr>
        <w:t>1. 比选人将把合同授予中选人；在授予前，仍需进行资格审查。</w:t>
      </w:r>
    </w:p>
    <w:p w14:paraId="4B104F23">
      <w:pPr>
        <w:autoSpaceDE w:val="0"/>
        <w:autoSpaceDN w:val="0"/>
        <w:spacing w:line="560" w:lineRule="exact"/>
        <w:ind w:firstLine="480" w:firstLineChars="200"/>
        <w:rPr>
          <w:rFonts w:ascii="Times New Roman" w:hAnsi="Times New Roman" w:eastAsia="仿宋"/>
          <w:snapToGrid w:val="0"/>
        </w:rPr>
      </w:pPr>
      <w:r>
        <w:rPr>
          <w:rFonts w:hint="eastAsia" w:ascii="Times New Roman" w:hAnsi="Times New Roman" w:eastAsia="仿宋"/>
          <w:snapToGrid w:val="0"/>
        </w:rPr>
        <w:t>2. 中选人确定后，比选人将通知中选人。</w:t>
      </w:r>
      <w:r>
        <w:rPr>
          <w:rFonts w:hint="eastAsia" w:ascii="Times New Roman" w:hAnsi="Times New Roman" w:eastAsia="仿宋"/>
          <w:snapToGrid w:val="0"/>
          <w:color w:val="000000"/>
        </w:rPr>
        <w:t>中选人中选资格被取消或放弃中选的，比选人有权将依评比规则确定的排名第二名的候选中选人作为本项目的中选人，或者重新组织比选，依此类推。</w:t>
      </w:r>
    </w:p>
    <w:p w14:paraId="621DB733">
      <w:pPr>
        <w:autoSpaceDE w:val="0"/>
        <w:autoSpaceDN w:val="0"/>
        <w:spacing w:line="560" w:lineRule="exact"/>
        <w:ind w:firstLine="480" w:firstLineChars="200"/>
        <w:rPr>
          <w:rFonts w:ascii="Times New Roman" w:hAnsi="Times New Roman" w:eastAsia="仿宋"/>
          <w:snapToGrid w:val="0"/>
        </w:rPr>
      </w:pPr>
      <w:r>
        <w:rPr>
          <w:rFonts w:ascii="Times New Roman" w:hAnsi="Times New Roman" w:eastAsia="仿宋"/>
          <w:snapToGrid w:val="0"/>
        </w:rPr>
        <w:t>3.</w:t>
      </w:r>
      <w:r>
        <w:rPr>
          <w:rFonts w:hint="eastAsia" w:ascii="Times New Roman" w:hAnsi="Times New Roman" w:eastAsia="仿宋"/>
          <w:snapToGrid w:val="0"/>
        </w:rPr>
        <w:t xml:space="preserve"> 中选人需在比选人通知中选后10个工作日内，</w:t>
      </w:r>
      <w:r>
        <w:rPr>
          <w:rFonts w:hint="eastAsia" w:ascii="Times New Roman" w:hAnsi="Times New Roman" w:eastAsia="仿宋"/>
          <w:snapToGrid w:val="0"/>
          <w:color w:val="000000"/>
        </w:rPr>
        <w:t>按照本比选文件所附合同</w:t>
      </w:r>
      <w:r>
        <w:rPr>
          <w:rFonts w:hint="eastAsia" w:ascii="Times New Roman" w:hAnsi="Times New Roman" w:eastAsia="仿宋"/>
          <w:snapToGrid w:val="0"/>
        </w:rPr>
        <w:t>与比选人</w:t>
      </w:r>
      <w:r>
        <w:rPr>
          <w:rFonts w:hint="eastAsia" w:ascii="Times New Roman" w:hAnsi="Times New Roman" w:eastAsia="仿宋"/>
          <w:snapToGrid w:val="0"/>
          <w:color w:val="000000"/>
        </w:rPr>
        <w:t>（或比选人指定单位）</w:t>
      </w:r>
      <w:r>
        <w:rPr>
          <w:rFonts w:hint="eastAsia" w:ascii="Times New Roman" w:hAnsi="Times New Roman" w:eastAsia="仿宋"/>
          <w:snapToGrid w:val="0"/>
        </w:rPr>
        <w:t>签订合同。</w:t>
      </w:r>
    </w:p>
    <w:p w14:paraId="3FBA78AC">
      <w:pPr>
        <w:autoSpaceDE w:val="0"/>
        <w:autoSpaceDN w:val="0"/>
        <w:spacing w:line="560" w:lineRule="exact"/>
        <w:ind w:firstLine="480" w:firstLineChars="200"/>
        <w:rPr>
          <w:rFonts w:ascii="Times New Roman" w:hAnsi="Times New Roman" w:eastAsia="仿宋"/>
          <w:snapToGrid w:val="0"/>
        </w:rPr>
      </w:pPr>
      <w:r>
        <w:rPr>
          <w:rFonts w:hint="eastAsia" w:ascii="Times New Roman" w:hAnsi="Times New Roman" w:eastAsia="仿宋"/>
          <w:snapToGrid w:val="0"/>
        </w:rPr>
        <w:t>4. 中选人签订合同后必须履行合同要求。若因中选人原因未在规定的时间内完成服务相关工作，则比选人有权解除合同、取消中选人的资格，并取消中选人三年内在比选人的业务中的参选资格，由此给比选人造成的损失，比选人还有权追究中选人的全部责任。</w:t>
      </w:r>
    </w:p>
    <w:p w14:paraId="3C93AE0F">
      <w:pPr>
        <w:autoSpaceDE w:val="0"/>
        <w:autoSpaceDN w:val="0"/>
        <w:spacing w:line="560" w:lineRule="exact"/>
        <w:ind w:firstLine="480" w:firstLineChars="200"/>
        <w:rPr>
          <w:rFonts w:ascii="Times New Roman" w:hAnsi="Times New Roman" w:eastAsia="仿宋"/>
          <w:snapToGrid w:val="0"/>
        </w:rPr>
      </w:pPr>
      <w:r>
        <w:rPr>
          <w:rFonts w:hint="eastAsia" w:ascii="Times New Roman" w:hAnsi="Times New Roman" w:eastAsia="仿宋"/>
          <w:snapToGrid w:val="0"/>
        </w:rPr>
        <w:t>5. 比选文件与合同附件作为签订合同的条款，比选文件合同条款中没有规定的内容，比选人、中选人认为有必要进行补充的，可另行商定解决。未经比选人同意，中选人不得擅自更改合同条款，否则比选人有权取消中选人的中选资格，同时，由此给比选人造成损失的，比选人还有权追究中选人的全部责任。</w:t>
      </w:r>
    </w:p>
    <w:p w14:paraId="3FC8FFDE">
      <w:pPr>
        <w:autoSpaceDE w:val="0"/>
        <w:autoSpaceDN w:val="0"/>
        <w:spacing w:line="560" w:lineRule="exact"/>
        <w:ind w:firstLine="480" w:firstLineChars="200"/>
        <w:rPr>
          <w:rFonts w:ascii="Times New Roman" w:hAnsi="Times New Roman" w:eastAsia="仿宋"/>
          <w:snapToGrid w:val="0"/>
        </w:rPr>
      </w:pPr>
      <w:r>
        <w:rPr>
          <w:rFonts w:hint="eastAsia" w:ascii="Times New Roman" w:hAnsi="Times New Roman" w:eastAsia="仿宋"/>
          <w:snapToGrid w:val="0"/>
        </w:rPr>
        <w:t>6. 接受和拒绝任何或所有参选的权利：比选人保留在合同正式签订之前任何时候接受或拒绝任何参选，以及宣布比选程序无效或拒绝所有参选的权利，对受影响的参选人不承担任何责任。</w:t>
      </w:r>
    </w:p>
    <w:p w14:paraId="0D6BAF86">
      <w:pPr>
        <w:spacing w:line="560" w:lineRule="exact"/>
        <w:rPr>
          <w:rFonts w:ascii="Times New Roman" w:hAnsi="Times New Roman" w:cs="Arial"/>
          <w:b/>
          <w:bCs/>
          <w:sz w:val="32"/>
          <w:szCs w:val="32"/>
        </w:rPr>
      </w:pPr>
      <w:bookmarkStart w:id="314" w:name="_Toc486321061"/>
      <w:r>
        <w:rPr>
          <w:rFonts w:ascii="Times New Roman" w:hAnsi="Times New Roman"/>
        </w:rPr>
        <w:br w:type="page"/>
      </w:r>
    </w:p>
    <w:p w14:paraId="3814769D">
      <w:pPr>
        <w:numPr>
          <w:ilvl w:val="0"/>
          <w:numId w:val="9"/>
        </w:numPr>
        <w:jc w:val="center"/>
        <w:outlineLvl w:val="0"/>
        <w:rPr>
          <w:rFonts w:hint="eastAsia" w:ascii="Times New Roman" w:hAnsi="Times New Roman" w:eastAsia="仿宋" w:cs="Arial"/>
          <w:b/>
          <w:bCs/>
          <w:kern w:val="2"/>
          <w:sz w:val="44"/>
          <w:szCs w:val="44"/>
        </w:rPr>
      </w:pPr>
      <w:bookmarkStart w:id="315" w:name="_Toc22015"/>
      <w:bookmarkStart w:id="316" w:name="_Toc22080"/>
      <w:bookmarkStart w:id="317" w:name="_Toc4904"/>
      <w:bookmarkStart w:id="318" w:name="_Toc25230"/>
      <w:bookmarkStart w:id="319" w:name="_Toc15929"/>
      <w:bookmarkStart w:id="320" w:name="_Toc29084"/>
      <w:bookmarkStart w:id="321" w:name="_Toc91421115"/>
      <w:bookmarkStart w:id="322" w:name="_Toc16649"/>
      <w:bookmarkStart w:id="323" w:name="_Toc19654"/>
      <w:bookmarkStart w:id="324" w:name="_Toc24561"/>
      <w:bookmarkStart w:id="325" w:name="_Toc8915"/>
      <w:bookmarkStart w:id="326" w:name="_Toc5466"/>
      <w:r>
        <w:rPr>
          <w:rFonts w:hint="eastAsia" w:ascii="Times New Roman" w:hAnsi="Times New Roman" w:eastAsia="仿宋" w:cs="Arial"/>
          <w:b/>
          <w:bCs/>
          <w:kern w:val="2"/>
          <w:sz w:val="44"/>
          <w:szCs w:val="44"/>
        </w:rPr>
        <w:t>中选后相关履约要求</w:t>
      </w:r>
      <w:bookmarkEnd w:id="314"/>
      <w:bookmarkEnd w:id="315"/>
      <w:bookmarkEnd w:id="316"/>
      <w:bookmarkEnd w:id="317"/>
      <w:bookmarkEnd w:id="318"/>
      <w:bookmarkEnd w:id="319"/>
      <w:bookmarkEnd w:id="320"/>
      <w:bookmarkEnd w:id="321"/>
      <w:bookmarkEnd w:id="322"/>
      <w:bookmarkEnd w:id="323"/>
      <w:bookmarkEnd w:id="324"/>
      <w:bookmarkEnd w:id="325"/>
      <w:bookmarkEnd w:id="326"/>
    </w:p>
    <w:p w14:paraId="4136F13B">
      <w:pPr>
        <w:spacing w:line="560" w:lineRule="exact"/>
        <w:ind w:firstLine="562" w:firstLineChars="200"/>
        <w:jc w:val="center"/>
        <w:rPr>
          <w:rFonts w:ascii="Times New Roman" w:hAnsi="Times New Roman"/>
          <w:b/>
          <w:sz w:val="28"/>
          <w:szCs w:val="28"/>
        </w:rPr>
      </w:pPr>
    </w:p>
    <w:p w14:paraId="425E3B02">
      <w:pPr>
        <w:autoSpaceDE w:val="0"/>
        <w:autoSpaceDN w:val="0"/>
        <w:spacing w:line="560" w:lineRule="exact"/>
        <w:ind w:firstLine="480" w:firstLineChars="200"/>
        <w:rPr>
          <w:rFonts w:ascii="Times New Roman" w:hAnsi="Times New Roman" w:eastAsia="仿宋"/>
          <w:snapToGrid w:val="0"/>
        </w:rPr>
      </w:pPr>
      <w:r>
        <w:rPr>
          <w:rFonts w:ascii="Times New Roman" w:hAnsi="Times New Roman" w:eastAsia="仿宋"/>
          <w:snapToGrid w:val="0"/>
        </w:rPr>
        <w:t>1.</w:t>
      </w:r>
      <w:r>
        <w:rPr>
          <w:rFonts w:hint="eastAsia" w:ascii="Times New Roman" w:hAnsi="Times New Roman" w:eastAsia="仿宋"/>
          <w:snapToGrid w:val="0"/>
        </w:rPr>
        <w:t xml:space="preserve"> </w:t>
      </w:r>
      <w:r>
        <w:rPr>
          <w:rFonts w:ascii="Times New Roman" w:hAnsi="Times New Roman" w:eastAsia="仿宋"/>
          <w:snapToGrid w:val="0"/>
        </w:rPr>
        <w:t>中选人要服从比选人的管理规定，不得影响比选人的生产运行，如有违反，比选人有权解除合同、取消</w:t>
      </w:r>
      <w:r>
        <w:rPr>
          <w:rFonts w:hint="eastAsia" w:ascii="Times New Roman" w:hAnsi="Times New Roman" w:eastAsia="仿宋"/>
          <w:snapToGrid w:val="0"/>
        </w:rPr>
        <w:t>中选人的继续履行合同的</w:t>
      </w:r>
      <w:r>
        <w:rPr>
          <w:rFonts w:ascii="Times New Roman" w:hAnsi="Times New Roman" w:eastAsia="仿宋"/>
          <w:snapToGrid w:val="0"/>
        </w:rPr>
        <w:t>资格</w:t>
      </w:r>
      <w:r>
        <w:rPr>
          <w:rFonts w:hint="eastAsia" w:ascii="Times New Roman" w:hAnsi="Times New Roman" w:eastAsia="仿宋"/>
          <w:snapToGrid w:val="0"/>
        </w:rPr>
        <w:t>，</w:t>
      </w:r>
      <w:r>
        <w:rPr>
          <w:rFonts w:ascii="Times New Roman" w:hAnsi="Times New Roman" w:eastAsia="仿宋"/>
          <w:snapToGrid w:val="0"/>
        </w:rPr>
        <w:t>同时</w:t>
      </w:r>
      <w:r>
        <w:rPr>
          <w:rFonts w:hint="eastAsia" w:ascii="Times New Roman" w:hAnsi="Times New Roman" w:eastAsia="仿宋"/>
          <w:snapToGrid w:val="0"/>
        </w:rPr>
        <w:t>，由此给比选人造成的损失，比选人还有权追究中选人的全部责任。</w:t>
      </w:r>
    </w:p>
    <w:p w14:paraId="69BC5150">
      <w:pPr>
        <w:autoSpaceDE w:val="0"/>
        <w:autoSpaceDN w:val="0"/>
        <w:spacing w:line="560" w:lineRule="exact"/>
        <w:ind w:firstLine="480" w:firstLineChars="200"/>
        <w:rPr>
          <w:rFonts w:ascii="Times New Roman" w:hAnsi="Times New Roman" w:eastAsia="仿宋"/>
          <w:snapToGrid w:val="0"/>
          <w:highlight w:val="none"/>
        </w:rPr>
      </w:pPr>
      <w:r>
        <w:rPr>
          <w:rFonts w:ascii="Times New Roman" w:hAnsi="Times New Roman" w:eastAsia="仿宋"/>
          <w:snapToGrid w:val="0"/>
        </w:rPr>
        <w:t xml:space="preserve">2. </w:t>
      </w:r>
      <w:r>
        <w:rPr>
          <w:rFonts w:hint="eastAsia" w:ascii="Times New Roman" w:hAnsi="Times New Roman" w:eastAsia="仿宋"/>
          <w:snapToGrid w:val="0"/>
        </w:rPr>
        <w:t>必须满足以</w:t>
      </w:r>
      <w:r>
        <w:rPr>
          <w:rFonts w:hint="eastAsia" w:ascii="Times New Roman" w:hAnsi="Times New Roman" w:eastAsia="仿宋"/>
          <w:snapToGrid w:val="0"/>
          <w:highlight w:val="none"/>
        </w:rPr>
        <w:t>下条件才可进行验收：</w:t>
      </w:r>
    </w:p>
    <w:p w14:paraId="6ADF617A">
      <w:pPr>
        <w:autoSpaceDE w:val="0"/>
        <w:autoSpaceDN w:val="0"/>
        <w:spacing w:line="560" w:lineRule="exact"/>
        <w:ind w:firstLine="480" w:firstLineChars="200"/>
        <w:rPr>
          <w:rFonts w:ascii="Times New Roman" w:hAnsi="Times New Roman" w:eastAsia="仿宋"/>
          <w:snapToGrid w:val="0"/>
          <w:highlight w:val="none"/>
        </w:rPr>
      </w:pPr>
      <w:r>
        <w:rPr>
          <w:rFonts w:ascii="Times New Roman" w:hAnsi="Times New Roman" w:eastAsia="仿宋"/>
          <w:snapToGrid w:val="0"/>
          <w:highlight w:val="none"/>
        </w:rPr>
        <w:t xml:space="preserve">按合同规定完成所有的工作内容。 </w:t>
      </w:r>
    </w:p>
    <w:p w14:paraId="1D098DF2">
      <w:pPr>
        <w:autoSpaceDE w:val="0"/>
        <w:autoSpaceDN w:val="0"/>
        <w:spacing w:line="560" w:lineRule="exact"/>
        <w:ind w:firstLine="480" w:firstLineChars="200"/>
        <w:rPr>
          <w:rFonts w:ascii="Times New Roman" w:hAnsi="Times New Roman" w:eastAsia="仿宋"/>
          <w:snapToGrid w:val="0"/>
          <w:highlight w:val="none"/>
        </w:rPr>
      </w:pPr>
      <w:r>
        <w:rPr>
          <w:rFonts w:ascii="Times New Roman" w:hAnsi="Times New Roman" w:eastAsia="仿宋"/>
          <w:snapToGrid w:val="0"/>
          <w:highlight w:val="none"/>
        </w:rPr>
        <w:t>3.</w:t>
      </w:r>
      <w:r>
        <w:rPr>
          <w:rFonts w:hint="eastAsia" w:ascii="Times New Roman" w:hAnsi="Times New Roman" w:eastAsia="仿宋"/>
          <w:snapToGrid w:val="0"/>
          <w:highlight w:val="none"/>
        </w:rPr>
        <w:t>付款方式为：</w:t>
      </w:r>
    </w:p>
    <w:p w14:paraId="58CF3310">
      <w:pPr>
        <w:autoSpaceDE w:val="0"/>
        <w:autoSpaceDN w:val="0"/>
        <w:spacing w:line="560" w:lineRule="exact"/>
        <w:ind w:firstLine="480" w:firstLineChars="200"/>
        <w:jc w:val="both"/>
        <w:rPr>
          <w:rFonts w:hint="eastAsia" w:ascii="Times New Roman" w:hAnsi="Times New Roman" w:eastAsia="仿宋"/>
          <w:snapToGrid w:val="0"/>
        </w:rPr>
      </w:pPr>
      <w:r>
        <w:rPr>
          <w:rFonts w:hint="eastAsia" w:ascii="Times New Roman" w:hAnsi="Times New Roman" w:eastAsia="仿宋"/>
          <w:snapToGrid w:val="0"/>
          <w:highlight w:val="none"/>
          <w:lang w:val="en-US" w:eastAsia="zh-CN"/>
        </w:rPr>
        <w:t xml:space="preserve">3.1 </w:t>
      </w:r>
      <w:r>
        <w:rPr>
          <w:rFonts w:hint="eastAsia" w:ascii="Times New Roman" w:hAnsi="Times New Roman" w:eastAsia="仿宋"/>
          <w:snapToGrid w:val="0"/>
          <w:highlight w:val="none"/>
        </w:rPr>
        <w:t>第一笔付款：完成设</w:t>
      </w:r>
      <w:r>
        <w:rPr>
          <w:rFonts w:hint="eastAsia" w:ascii="Times New Roman" w:hAnsi="Times New Roman" w:eastAsia="仿宋"/>
          <w:snapToGrid w:val="0"/>
        </w:rPr>
        <w:t>备供货后，乙方提供支付合同总金额的35%的增值税专用发票（设备税率13%，系统集成税率6%），甲方于15个工作日内向中选人支付合同首款，即人民币       元整（¥       元）。</w:t>
      </w:r>
    </w:p>
    <w:p w14:paraId="0C59168C">
      <w:pPr>
        <w:autoSpaceDE w:val="0"/>
        <w:autoSpaceDN w:val="0"/>
        <w:spacing w:line="560" w:lineRule="exact"/>
        <w:ind w:firstLine="480" w:firstLineChars="200"/>
        <w:jc w:val="both"/>
        <w:rPr>
          <w:rFonts w:hint="eastAsia" w:ascii="Times New Roman" w:hAnsi="Times New Roman" w:eastAsia="仿宋"/>
          <w:snapToGrid w:val="0"/>
        </w:rPr>
      </w:pPr>
      <w:r>
        <w:rPr>
          <w:rFonts w:hint="eastAsia" w:ascii="Times New Roman" w:hAnsi="Times New Roman" w:eastAsia="仿宋"/>
          <w:snapToGrid w:val="0"/>
          <w:lang w:val="en-US" w:eastAsia="zh-CN"/>
        </w:rPr>
        <w:t xml:space="preserve">3.2 </w:t>
      </w:r>
      <w:r>
        <w:rPr>
          <w:rFonts w:hint="eastAsia" w:ascii="Times New Roman" w:hAnsi="Times New Roman" w:eastAsia="仿宋"/>
          <w:snapToGrid w:val="0"/>
        </w:rPr>
        <w:t>第二笔付款：完成设备安装、施工、调试，试运行满1个月，乙方提供支付合同总金额的60%的增值税专用发票（设备税率13%，系统集成税率6%），甲方于15个工作日内向中选人支付合同</w:t>
      </w:r>
      <w:r>
        <w:rPr>
          <w:rFonts w:hint="eastAsia" w:ascii="Times New Roman" w:hAnsi="Times New Roman" w:eastAsia="仿宋"/>
          <w:snapToGrid w:val="0"/>
          <w:lang w:val="en-US" w:eastAsia="zh-CN"/>
        </w:rPr>
        <w:t>验收款</w:t>
      </w:r>
      <w:r>
        <w:rPr>
          <w:rFonts w:hint="eastAsia" w:ascii="Times New Roman" w:hAnsi="Times New Roman" w:eastAsia="仿宋"/>
          <w:snapToGrid w:val="0"/>
        </w:rPr>
        <w:t>，即人民币       元整（¥       元）。</w:t>
      </w:r>
    </w:p>
    <w:p w14:paraId="2FB00BFD">
      <w:pPr>
        <w:autoSpaceDE w:val="0"/>
        <w:autoSpaceDN w:val="0"/>
        <w:spacing w:line="560" w:lineRule="exact"/>
        <w:ind w:firstLine="480" w:firstLineChars="200"/>
        <w:jc w:val="both"/>
        <w:rPr>
          <w:rFonts w:hint="eastAsia" w:ascii="Times New Roman" w:hAnsi="Times New Roman" w:eastAsia="仿宋"/>
          <w:snapToGrid w:val="0"/>
        </w:rPr>
      </w:pPr>
      <w:r>
        <w:rPr>
          <w:rFonts w:hint="eastAsia" w:ascii="Times New Roman" w:hAnsi="Times New Roman" w:eastAsia="仿宋"/>
          <w:snapToGrid w:val="0"/>
          <w:lang w:val="en-US" w:eastAsia="zh-CN"/>
        </w:rPr>
        <w:t xml:space="preserve">3.3 </w:t>
      </w:r>
      <w:r>
        <w:rPr>
          <w:rFonts w:hint="eastAsia" w:ascii="Times New Roman" w:hAnsi="Times New Roman" w:eastAsia="仿宋"/>
          <w:snapToGrid w:val="0"/>
        </w:rPr>
        <w:t>第三笔付款：质保期内，乙方履行所有售后义务，且质保期满</w:t>
      </w:r>
      <w:r>
        <w:rPr>
          <w:rFonts w:hint="eastAsia" w:ascii="Times New Roman" w:hAnsi="Times New Roman" w:eastAsia="仿宋"/>
          <w:snapToGrid w:val="0"/>
          <w:lang w:val="en-US" w:eastAsia="zh-CN"/>
        </w:rPr>
        <w:t>1</w:t>
      </w:r>
      <w:r>
        <w:rPr>
          <w:rFonts w:hint="eastAsia" w:ascii="Times New Roman" w:hAnsi="Times New Roman" w:eastAsia="仿宋"/>
          <w:snapToGrid w:val="0"/>
        </w:rPr>
        <w:t>年后，收到乙方开具相应增值税专用发票（设备税率13%，系统集成税率6%）之日起15个工作日内，甲方将本合同约定的费用总价</w:t>
      </w:r>
      <w:r>
        <w:rPr>
          <w:rFonts w:hint="eastAsia" w:ascii="Times New Roman" w:hAnsi="Times New Roman" w:eastAsia="仿宋"/>
          <w:snapToGrid w:val="0"/>
          <w:lang w:val="en-US" w:eastAsia="zh-CN"/>
        </w:rPr>
        <w:t>5</w:t>
      </w:r>
      <w:r>
        <w:rPr>
          <w:rFonts w:hint="eastAsia" w:ascii="Times New Roman" w:hAnsi="Times New Roman" w:eastAsia="仿宋"/>
          <w:snapToGrid w:val="0"/>
        </w:rPr>
        <w:t>%的款项支付给乙方。</w:t>
      </w:r>
    </w:p>
    <w:p w14:paraId="1EA38DAB">
      <w:pPr>
        <w:autoSpaceDE w:val="0"/>
        <w:autoSpaceDN w:val="0"/>
        <w:spacing w:line="560" w:lineRule="exact"/>
        <w:ind w:firstLine="480" w:firstLineChars="200"/>
        <w:rPr>
          <w:rFonts w:ascii="Times New Roman" w:hAnsi="Times New Roman" w:cs="Arial"/>
          <w:b/>
          <w:bCs/>
          <w:sz w:val="32"/>
          <w:szCs w:val="32"/>
        </w:rPr>
      </w:pPr>
      <w:r>
        <w:rPr>
          <w:rFonts w:hint="eastAsia" w:ascii="Times New Roman" w:hAnsi="Times New Roman" w:eastAsia="仿宋"/>
          <w:snapToGrid w:val="0"/>
          <w:lang w:val="en-US" w:eastAsia="zh-CN"/>
        </w:rPr>
        <w:t>4</w:t>
      </w:r>
      <w:r>
        <w:rPr>
          <w:rFonts w:ascii="Times New Roman" w:hAnsi="Times New Roman" w:eastAsia="仿宋"/>
          <w:snapToGrid w:val="0"/>
        </w:rPr>
        <w:t>.</w:t>
      </w:r>
      <w:r>
        <w:rPr>
          <w:rFonts w:hint="eastAsia" w:ascii="Times New Roman" w:hAnsi="Times New Roman" w:eastAsia="仿宋"/>
          <w:snapToGrid w:val="0"/>
        </w:rPr>
        <w:t xml:space="preserve"> </w:t>
      </w:r>
      <w:r>
        <w:rPr>
          <w:rFonts w:ascii="Times New Roman" w:hAnsi="Times New Roman" w:eastAsia="仿宋"/>
          <w:snapToGrid w:val="0"/>
        </w:rPr>
        <w:t>中选人需遵守比选人的各项管理规章制度，如违反相关制度，则按</w:t>
      </w:r>
      <w:r>
        <w:rPr>
          <w:rFonts w:hint="eastAsia" w:ascii="Times New Roman" w:hAnsi="Times New Roman" w:eastAsia="仿宋"/>
          <w:snapToGrid w:val="0"/>
        </w:rPr>
        <w:t>福建省能源石化信息科技有限责任公司相应制度条款进行处理，中选人对此无异议。</w:t>
      </w:r>
      <w:bookmarkStart w:id="327" w:name="_Toc486321062"/>
      <w:r>
        <w:rPr>
          <w:rFonts w:ascii="Times New Roman" w:hAnsi="Times New Roman"/>
          <w:sz w:val="22"/>
          <w:szCs w:val="22"/>
        </w:rPr>
        <w:br w:type="page"/>
      </w:r>
    </w:p>
    <w:p w14:paraId="7E1F5FC1">
      <w:pPr>
        <w:numPr>
          <w:ilvl w:val="0"/>
          <w:numId w:val="9"/>
        </w:numPr>
        <w:jc w:val="center"/>
        <w:outlineLvl w:val="0"/>
        <w:rPr>
          <w:rFonts w:hint="eastAsia" w:ascii="Times New Roman" w:hAnsi="Times New Roman" w:eastAsia="仿宋" w:cs="Arial"/>
          <w:b/>
          <w:bCs/>
          <w:kern w:val="2"/>
          <w:sz w:val="44"/>
          <w:szCs w:val="44"/>
        </w:rPr>
      </w:pPr>
      <w:bookmarkStart w:id="328" w:name="_Toc5031"/>
      <w:bookmarkStart w:id="329" w:name="_Toc28021"/>
      <w:bookmarkStart w:id="330" w:name="_Toc9757"/>
      <w:bookmarkStart w:id="331" w:name="_Toc10412"/>
      <w:bookmarkStart w:id="332" w:name="_Toc24246"/>
      <w:bookmarkStart w:id="333" w:name="_Toc5349"/>
      <w:bookmarkStart w:id="334" w:name="_Toc26419"/>
      <w:bookmarkStart w:id="335" w:name="_Toc22434"/>
      <w:bookmarkStart w:id="336" w:name="_Toc27581"/>
      <w:bookmarkStart w:id="337" w:name="_Toc5384"/>
      <w:bookmarkStart w:id="338" w:name="_Toc9478"/>
      <w:bookmarkStart w:id="339" w:name="_Toc91421116"/>
      <w:r>
        <w:rPr>
          <w:rFonts w:hint="eastAsia" w:ascii="Times New Roman" w:hAnsi="Times New Roman" w:eastAsia="仿宋" w:cs="Arial"/>
          <w:b/>
          <w:bCs/>
          <w:kern w:val="2"/>
          <w:sz w:val="44"/>
          <w:szCs w:val="44"/>
        </w:rPr>
        <w:t>其它</w:t>
      </w:r>
      <w:bookmarkEnd w:id="327"/>
      <w:bookmarkEnd w:id="328"/>
      <w:bookmarkEnd w:id="329"/>
      <w:bookmarkEnd w:id="330"/>
      <w:bookmarkEnd w:id="331"/>
      <w:bookmarkEnd w:id="332"/>
      <w:bookmarkEnd w:id="333"/>
      <w:bookmarkEnd w:id="334"/>
      <w:bookmarkEnd w:id="335"/>
      <w:bookmarkEnd w:id="336"/>
      <w:bookmarkEnd w:id="337"/>
      <w:bookmarkEnd w:id="338"/>
      <w:bookmarkEnd w:id="339"/>
    </w:p>
    <w:p w14:paraId="31D1C60A">
      <w:pPr>
        <w:spacing w:line="560" w:lineRule="exact"/>
        <w:jc w:val="center"/>
        <w:rPr>
          <w:rFonts w:ascii="Times New Roman" w:hAnsi="Times New Roman"/>
          <w:b/>
          <w:sz w:val="28"/>
          <w:szCs w:val="28"/>
        </w:rPr>
      </w:pPr>
    </w:p>
    <w:p w14:paraId="71C9F9DE">
      <w:pPr>
        <w:autoSpaceDE w:val="0"/>
        <w:autoSpaceDN w:val="0"/>
        <w:spacing w:line="560" w:lineRule="exact"/>
        <w:ind w:firstLine="480" w:firstLineChars="200"/>
        <w:rPr>
          <w:rFonts w:ascii="Times New Roman" w:hAnsi="Times New Roman" w:eastAsia="仿宋"/>
          <w:snapToGrid w:val="0"/>
        </w:rPr>
      </w:pPr>
      <w:r>
        <w:rPr>
          <w:rFonts w:ascii="Times New Roman" w:hAnsi="Times New Roman" w:eastAsia="仿宋"/>
          <w:snapToGrid w:val="0"/>
        </w:rPr>
        <w:t>1.</w:t>
      </w:r>
      <w:r>
        <w:rPr>
          <w:rFonts w:hint="eastAsia" w:ascii="Times New Roman" w:hAnsi="Times New Roman" w:eastAsia="仿宋"/>
          <w:snapToGrid w:val="0"/>
        </w:rPr>
        <w:t xml:space="preserve"> </w:t>
      </w:r>
      <w:r>
        <w:rPr>
          <w:rFonts w:ascii="Times New Roman" w:hAnsi="Times New Roman" w:eastAsia="仿宋"/>
          <w:snapToGrid w:val="0"/>
        </w:rPr>
        <w:t>参选人的参选文件无论其是否中选，均不退回。</w:t>
      </w:r>
    </w:p>
    <w:p w14:paraId="1B187F85">
      <w:pPr>
        <w:autoSpaceDE w:val="0"/>
        <w:autoSpaceDN w:val="0"/>
        <w:spacing w:line="560" w:lineRule="exact"/>
        <w:ind w:firstLine="480" w:firstLineChars="200"/>
        <w:rPr>
          <w:rFonts w:ascii="Times New Roman" w:hAnsi="Times New Roman" w:eastAsia="仿宋"/>
          <w:snapToGrid w:val="0"/>
        </w:rPr>
      </w:pPr>
      <w:r>
        <w:rPr>
          <w:rFonts w:ascii="Times New Roman" w:hAnsi="Times New Roman" w:eastAsia="仿宋"/>
          <w:snapToGrid w:val="0"/>
        </w:rPr>
        <w:t>2.</w:t>
      </w:r>
      <w:r>
        <w:rPr>
          <w:rFonts w:hint="eastAsia" w:ascii="Times New Roman" w:hAnsi="Times New Roman" w:eastAsia="仿宋"/>
          <w:snapToGrid w:val="0"/>
        </w:rPr>
        <w:t xml:space="preserve"> </w:t>
      </w:r>
      <w:r>
        <w:rPr>
          <w:rFonts w:ascii="Times New Roman" w:hAnsi="Times New Roman" w:eastAsia="仿宋"/>
          <w:snapToGrid w:val="0"/>
        </w:rPr>
        <w:t>比选人郑重承诺：参选人所提交的参选文件及相关资料不向第三方泄露。</w:t>
      </w:r>
    </w:p>
    <w:p w14:paraId="07837C92">
      <w:pPr>
        <w:autoSpaceDE w:val="0"/>
        <w:autoSpaceDN w:val="0"/>
        <w:spacing w:line="560" w:lineRule="exact"/>
        <w:ind w:firstLine="480" w:firstLineChars="200"/>
        <w:rPr>
          <w:rFonts w:ascii="Times New Roman" w:hAnsi="Times New Roman" w:eastAsia="仿宋"/>
          <w:snapToGrid w:val="0"/>
        </w:rPr>
      </w:pPr>
      <w:r>
        <w:rPr>
          <w:rFonts w:ascii="Times New Roman" w:hAnsi="Times New Roman" w:eastAsia="仿宋"/>
          <w:snapToGrid w:val="0"/>
        </w:rPr>
        <w:t>3.</w:t>
      </w:r>
      <w:r>
        <w:rPr>
          <w:rFonts w:hint="eastAsia" w:ascii="Times New Roman" w:hAnsi="Times New Roman" w:eastAsia="仿宋"/>
          <w:snapToGrid w:val="0"/>
        </w:rPr>
        <w:t xml:space="preserve"> </w:t>
      </w:r>
      <w:r>
        <w:rPr>
          <w:rFonts w:ascii="Times New Roman" w:hAnsi="Times New Roman" w:eastAsia="仿宋"/>
          <w:snapToGrid w:val="0"/>
        </w:rPr>
        <w:t>本比选文件的解释权归</w:t>
      </w:r>
      <w:r>
        <w:rPr>
          <w:rFonts w:hint="eastAsia" w:ascii="Times New Roman" w:hAnsi="Times New Roman" w:eastAsia="仿宋"/>
          <w:snapToGrid w:val="0"/>
        </w:rPr>
        <w:t>福建省能源石化信息科技有限责任公司。</w:t>
      </w:r>
    </w:p>
    <w:p w14:paraId="2C0E4D8A">
      <w:pPr>
        <w:spacing w:line="560" w:lineRule="exact"/>
        <w:ind w:firstLine="480" w:firstLineChars="200"/>
        <w:rPr>
          <w:rFonts w:ascii="Times New Roman" w:hAnsi="Times New Roman"/>
          <w:szCs w:val="28"/>
        </w:rPr>
        <w:sectPr>
          <w:footerReference r:id="rId8" w:type="default"/>
          <w:pgSz w:w="11906" w:h="16838"/>
          <w:pgMar w:top="1361" w:right="1134" w:bottom="1134" w:left="1418" w:header="907" w:footer="992" w:gutter="0"/>
          <w:pgNumType w:fmt="decimal" w:start="1"/>
          <w:cols w:space="720" w:num="1"/>
          <w:docGrid w:linePitch="312" w:charSpace="0"/>
        </w:sectPr>
      </w:pPr>
    </w:p>
    <w:p w14:paraId="27C773BB">
      <w:pPr>
        <w:pStyle w:val="16"/>
        <w:spacing w:before="0" w:after="0" w:line="560" w:lineRule="exact"/>
        <w:jc w:val="left"/>
        <w:rPr>
          <w:rFonts w:ascii="Times New Roman" w:hAnsi="Times New Roman" w:eastAsia="仿宋"/>
          <w:sz w:val="44"/>
          <w:szCs w:val="44"/>
        </w:rPr>
      </w:pPr>
      <w:bookmarkStart w:id="340" w:name="_Toc3965"/>
      <w:bookmarkStart w:id="341" w:name="_Toc202"/>
      <w:bookmarkStart w:id="342" w:name="_Toc11197"/>
      <w:bookmarkStart w:id="343" w:name="_Toc8699"/>
      <w:bookmarkStart w:id="344" w:name="_Toc14544"/>
      <w:bookmarkStart w:id="345" w:name="_Toc10734"/>
      <w:bookmarkStart w:id="346" w:name="_Toc91421117"/>
      <w:bookmarkStart w:id="347" w:name="_Toc32320"/>
      <w:bookmarkStart w:id="348" w:name="_Toc17189"/>
      <w:bookmarkStart w:id="349" w:name="_Toc26189"/>
      <w:bookmarkStart w:id="350" w:name="_Toc7285"/>
      <w:bookmarkStart w:id="351" w:name="_Toc18652"/>
      <w:bookmarkStart w:id="352" w:name="_Toc486321063"/>
      <w:bookmarkStart w:id="353" w:name="_Toc251742852"/>
      <w:r>
        <w:rPr>
          <w:rFonts w:hint="eastAsia" w:ascii="Times New Roman" w:hAnsi="Times New Roman" w:eastAsia="仿宋"/>
          <w:sz w:val="44"/>
          <w:szCs w:val="44"/>
        </w:rPr>
        <w:t>附件一  合同范本</w:t>
      </w:r>
      <w:bookmarkEnd w:id="340"/>
      <w:bookmarkEnd w:id="341"/>
      <w:bookmarkEnd w:id="342"/>
      <w:bookmarkEnd w:id="343"/>
      <w:bookmarkEnd w:id="344"/>
      <w:bookmarkEnd w:id="345"/>
      <w:bookmarkEnd w:id="346"/>
      <w:bookmarkEnd w:id="347"/>
      <w:bookmarkEnd w:id="348"/>
      <w:bookmarkEnd w:id="349"/>
      <w:bookmarkEnd w:id="350"/>
    </w:p>
    <w:p w14:paraId="3E85EA48">
      <w:pPr>
        <w:pStyle w:val="16"/>
        <w:spacing w:before="0" w:after="0" w:line="560" w:lineRule="exact"/>
        <w:outlineLvl w:val="9"/>
        <w:rPr>
          <w:rFonts w:ascii="Times New Roman" w:hAnsi="Times New Roman" w:eastAsia="仿宋"/>
          <w:sz w:val="44"/>
          <w:szCs w:val="44"/>
        </w:rPr>
      </w:pPr>
    </w:p>
    <w:p w14:paraId="1DCBD9D9">
      <w:pPr>
        <w:pStyle w:val="22"/>
        <w:rPr>
          <w:bCs/>
          <w:color w:val="000000"/>
          <w:kern w:val="0"/>
        </w:rPr>
      </w:pPr>
      <w:r>
        <w:rPr>
          <w:rFonts w:hint="eastAsia"/>
          <w:bCs/>
          <w:color w:val="000000"/>
          <w:kern w:val="0"/>
        </w:rPr>
        <w:t>（甲）合同编号：</w:t>
      </w:r>
      <w:r>
        <w:rPr>
          <w:rFonts w:hint="eastAsia"/>
          <w:bCs/>
          <w:color w:val="000000"/>
          <w:kern w:val="0"/>
          <w:u w:val="single"/>
        </w:rPr>
        <w:t xml:space="preserve">                     </w:t>
      </w:r>
    </w:p>
    <w:p w14:paraId="733F0103">
      <w:pPr>
        <w:pStyle w:val="22"/>
        <w:rPr>
          <w:rFonts w:hint="eastAsia"/>
          <w:bCs/>
          <w:color w:val="000000"/>
          <w:kern w:val="0"/>
          <w:u w:val="single"/>
        </w:rPr>
      </w:pPr>
      <w:r>
        <w:rPr>
          <w:rFonts w:hint="eastAsia"/>
          <w:bCs/>
          <w:color w:val="000000"/>
          <w:kern w:val="0"/>
        </w:rPr>
        <w:t>（乙）合同编号：</w:t>
      </w:r>
      <w:r>
        <w:rPr>
          <w:rFonts w:hint="eastAsia"/>
          <w:bCs/>
          <w:color w:val="000000"/>
          <w:kern w:val="0"/>
          <w:u w:val="single"/>
        </w:rPr>
        <w:t xml:space="preserve">                     </w:t>
      </w:r>
    </w:p>
    <w:p w14:paraId="45E2BDEC">
      <w:pPr>
        <w:pStyle w:val="22"/>
        <w:rPr>
          <w:rFonts w:hint="eastAsia"/>
          <w:bCs/>
          <w:color w:val="000000"/>
          <w:kern w:val="0"/>
          <w:u w:val="single"/>
        </w:rPr>
      </w:pPr>
    </w:p>
    <w:p w14:paraId="194B7352">
      <w:pPr>
        <w:spacing w:line="640" w:lineRule="exact"/>
        <w:jc w:val="center"/>
        <w:rPr>
          <w:rFonts w:hint="eastAsia" w:ascii="Times New Roman" w:hAnsi="Times New Roman" w:eastAsia="黑体" w:cs="宋体"/>
          <w:b/>
          <w:color w:val="000000"/>
          <w:sz w:val="56"/>
          <w:szCs w:val="56"/>
        </w:rPr>
      </w:pPr>
    </w:p>
    <w:p w14:paraId="52AEFA3F">
      <w:pPr>
        <w:spacing w:line="640" w:lineRule="exact"/>
        <w:jc w:val="center"/>
        <w:rPr>
          <w:rFonts w:hint="eastAsia" w:ascii="Times New Roman" w:hAnsi="Times New Roman" w:eastAsia="黑体" w:cs="宋体"/>
          <w:b/>
          <w:color w:val="000000"/>
          <w:sz w:val="56"/>
          <w:szCs w:val="56"/>
        </w:rPr>
      </w:pPr>
    </w:p>
    <w:p w14:paraId="2FE56F50">
      <w:pPr>
        <w:spacing w:line="640" w:lineRule="exact"/>
        <w:jc w:val="center"/>
        <w:rPr>
          <w:rFonts w:hint="eastAsia" w:ascii="Times New Roman" w:hAnsi="Times New Roman" w:eastAsia="黑体" w:cs="宋体"/>
          <w:b/>
          <w:color w:val="000000"/>
          <w:sz w:val="56"/>
          <w:szCs w:val="56"/>
        </w:rPr>
      </w:pPr>
    </w:p>
    <w:p w14:paraId="1F30BB6C">
      <w:pPr>
        <w:spacing w:line="640" w:lineRule="exact"/>
        <w:jc w:val="center"/>
        <w:rPr>
          <w:rFonts w:hint="eastAsia" w:ascii="Times New Roman" w:hAnsi="Times New Roman" w:eastAsia="黑体" w:cs="宋体"/>
          <w:b/>
          <w:color w:val="000000"/>
          <w:sz w:val="56"/>
          <w:szCs w:val="56"/>
        </w:rPr>
      </w:pPr>
    </w:p>
    <w:p w14:paraId="3EA1BBBF">
      <w:pPr>
        <w:spacing w:line="640" w:lineRule="exact"/>
        <w:jc w:val="center"/>
        <w:rPr>
          <w:rFonts w:ascii="Times New Roman" w:hAnsi="Times New Roman" w:eastAsia="黑体"/>
          <w:b/>
          <w:color w:val="000000"/>
          <w:sz w:val="56"/>
          <w:szCs w:val="56"/>
        </w:rPr>
      </w:pPr>
      <w:r>
        <w:rPr>
          <w:rFonts w:hint="eastAsia" w:ascii="Times New Roman" w:hAnsi="Times New Roman" w:eastAsia="黑体" w:cs="宋体"/>
          <w:b/>
          <w:color w:val="000000"/>
          <w:sz w:val="56"/>
          <w:szCs w:val="56"/>
          <w:lang w:eastAsia="zh-CN"/>
        </w:rPr>
        <w:t>福维新材料会议室系统建设项目</w:t>
      </w:r>
      <w:r>
        <w:rPr>
          <w:rFonts w:hint="eastAsia" w:ascii="Times New Roman" w:hAnsi="Times New Roman" w:eastAsia="黑体"/>
          <w:b/>
          <w:color w:val="000000"/>
          <w:sz w:val="56"/>
          <w:szCs w:val="56"/>
        </w:rPr>
        <w:t>合同</w:t>
      </w:r>
    </w:p>
    <w:p w14:paraId="09D2B8BA">
      <w:pPr>
        <w:pStyle w:val="22"/>
        <w:rPr>
          <w:color w:val="000000"/>
        </w:rPr>
      </w:pPr>
    </w:p>
    <w:p w14:paraId="48383AB7">
      <w:pPr>
        <w:pStyle w:val="22"/>
        <w:rPr>
          <w:color w:val="000000"/>
        </w:rPr>
      </w:pPr>
    </w:p>
    <w:p w14:paraId="3DD3C790">
      <w:pPr>
        <w:pStyle w:val="22"/>
        <w:rPr>
          <w:color w:val="000000"/>
        </w:rPr>
      </w:pPr>
    </w:p>
    <w:p w14:paraId="098CE9DD">
      <w:pPr>
        <w:pStyle w:val="22"/>
        <w:rPr>
          <w:color w:val="000000"/>
        </w:rPr>
      </w:pPr>
    </w:p>
    <w:p w14:paraId="5C35224D">
      <w:pPr>
        <w:pStyle w:val="22"/>
        <w:rPr>
          <w:color w:val="000000"/>
        </w:rPr>
      </w:pPr>
    </w:p>
    <w:p w14:paraId="4EC9FB6A">
      <w:pPr>
        <w:pStyle w:val="22"/>
        <w:rPr>
          <w:color w:val="000000"/>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378"/>
      </w:tblGrid>
      <w:tr w14:paraId="1B54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4451ED67">
            <w:pPr>
              <w:pStyle w:val="22"/>
              <w:jc w:val="right"/>
              <w:rPr>
                <w:color w:val="000000"/>
                <w:kern w:val="0"/>
              </w:rPr>
            </w:pPr>
            <w:r>
              <w:rPr>
                <w:rFonts w:hint="eastAsia"/>
                <w:bCs/>
                <w:color w:val="000000"/>
                <w:kern w:val="0"/>
              </w:rPr>
              <w:t>委托方（甲方）：</w:t>
            </w:r>
          </w:p>
        </w:tc>
        <w:tc>
          <w:tcPr>
            <w:tcW w:w="6378" w:type="dxa"/>
            <w:noWrap w:val="0"/>
            <w:vAlign w:val="top"/>
          </w:tcPr>
          <w:p w14:paraId="79C95390">
            <w:pPr>
              <w:jc w:val="center"/>
              <w:rPr>
                <w:rFonts w:hint="eastAsia" w:ascii="Times New Roman" w:hAnsi="Times New Roman" w:eastAsia="仿宋_GB2312"/>
                <w:bCs/>
                <w:color w:val="000000"/>
                <w:sz w:val="32"/>
              </w:rPr>
            </w:pPr>
            <w:r>
              <w:rPr>
                <w:rFonts w:hint="eastAsia" w:ascii="Times New Roman" w:hAnsi="Times New Roman" w:eastAsia="仿宋_GB2312"/>
                <w:bCs/>
                <w:color w:val="000000"/>
                <w:sz w:val="32"/>
              </w:rPr>
              <w:t>福建省能源石化信息科技有限责任公司</w:t>
            </w:r>
          </w:p>
        </w:tc>
      </w:tr>
      <w:tr w14:paraId="162E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13F17E0B">
            <w:pPr>
              <w:pStyle w:val="22"/>
              <w:jc w:val="right"/>
              <w:rPr>
                <w:color w:val="000000"/>
                <w:kern w:val="0"/>
              </w:rPr>
            </w:pPr>
            <w:r>
              <w:rPr>
                <w:rFonts w:hint="eastAsia"/>
                <w:bCs/>
                <w:color w:val="000000"/>
                <w:kern w:val="0"/>
              </w:rPr>
              <w:t>受托方（乙方）：</w:t>
            </w:r>
          </w:p>
        </w:tc>
        <w:tc>
          <w:tcPr>
            <w:tcW w:w="6378" w:type="dxa"/>
            <w:noWrap w:val="0"/>
            <w:vAlign w:val="top"/>
          </w:tcPr>
          <w:p w14:paraId="60F9455C">
            <w:pPr>
              <w:pStyle w:val="22"/>
              <w:jc w:val="center"/>
              <w:rPr>
                <w:bCs/>
                <w:color w:val="000000"/>
                <w:kern w:val="0"/>
              </w:rPr>
            </w:pPr>
          </w:p>
        </w:tc>
      </w:tr>
      <w:tr w14:paraId="0314C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7D7AD944">
            <w:pPr>
              <w:pStyle w:val="22"/>
              <w:jc w:val="right"/>
              <w:rPr>
                <w:color w:val="000000"/>
                <w:kern w:val="0"/>
              </w:rPr>
            </w:pPr>
            <w:r>
              <w:rPr>
                <w:rFonts w:hint="eastAsia"/>
                <w:bCs/>
                <w:color w:val="000000"/>
                <w:kern w:val="0"/>
              </w:rPr>
              <w:t>签订地点：</w:t>
            </w:r>
          </w:p>
        </w:tc>
        <w:tc>
          <w:tcPr>
            <w:tcW w:w="6378" w:type="dxa"/>
            <w:noWrap w:val="0"/>
            <w:vAlign w:val="top"/>
          </w:tcPr>
          <w:p w14:paraId="2476EB27">
            <w:pPr>
              <w:pStyle w:val="22"/>
              <w:jc w:val="center"/>
              <w:rPr>
                <w:bCs/>
                <w:color w:val="000000"/>
                <w:kern w:val="0"/>
              </w:rPr>
            </w:pPr>
            <w:r>
              <w:rPr>
                <w:rFonts w:hint="eastAsia"/>
                <w:bCs/>
                <w:color w:val="000000"/>
                <w:kern w:val="0"/>
              </w:rPr>
              <w:t>福  州</w:t>
            </w:r>
          </w:p>
        </w:tc>
      </w:tr>
      <w:tr w14:paraId="39A7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041449ED">
            <w:pPr>
              <w:pStyle w:val="22"/>
              <w:jc w:val="right"/>
              <w:rPr>
                <w:color w:val="000000"/>
                <w:kern w:val="0"/>
              </w:rPr>
            </w:pPr>
            <w:r>
              <w:rPr>
                <w:rFonts w:hint="eastAsia"/>
                <w:bCs/>
                <w:color w:val="000000"/>
                <w:kern w:val="0"/>
              </w:rPr>
              <w:t>签订日期：</w:t>
            </w:r>
          </w:p>
        </w:tc>
        <w:tc>
          <w:tcPr>
            <w:tcW w:w="6378" w:type="dxa"/>
            <w:noWrap w:val="0"/>
            <w:vAlign w:val="top"/>
          </w:tcPr>
          <w:p w14:paraId="47F2A43E">
            <w:pPr>
              <w:pStyle w:val="22"/>
              <w:jc w:val="center"/>
              <w:rPr>
                <w:bCs/>
                <w:color w:val="000000"/>
                <w:kern w:val="0"/>
              </w:rPr>
            </w:pPr>
            <w:r>
              <w:rPr>
                <w:rFonts w:hint="eastAsia"/>
                <w:bCs/>
                <w:color w:val="000000"/>
                <w:kern w:val="0"/>
              </w:rPr>
              <w:t xml:space="preserve">年 </w:t>
            </w:r>
            <w:r>
              <w:rPr>
                <w:bCs/>
                <w:color w:val="000000"/>
                <w:kern w:val="0"/>
              </w:rPr>
              <w:t xml:space="preserve">   </w:t>
            </w:r>
            <w:r>
              <w:rPr>
                <w:rFonts w:hint="eastAsia"/>
                <w:bCs/>
                <w:color w:val="000000"/>
                <w:kern w:val="0"/>
              </w:rPr>
              <w:t xml:space="preserve">月 </w:t>
            </w:r>
            <w:r>
              <w:rPr>
                <w:bCs/>
                <w:color w:val="000000"/>
                <w:kern w:val="0"/>
              </w:rPr>
              <w:t xml:space="preserve">   </w:t>
            </w:r>
            <w:r>
              <w:rPr>
                <w:rFonts w:hint="eastAsia"/>
                <w:bCs/>
                <w:color w:val="000000"/>
                <w:kern w:val="0"/>
              </w:rPr>
              <w:t>日</w:t>
            </w:r>
          </w:p>
        </w:tc>
      </w:tr>
    </w:tbl>
    <w:p w14:paraId="2F44EF7E">
      <w:pPr>
        <w:pStyle w:val="22"/>
        <w:rPr>
          <w:color w:val="000000"/>
        </w:rPr>
      </w:pPr>
    </w:p>
    <w:p w14:paraId="5B9C678E">
      <w:pPr>
        <w:pStyle w:val="22"/>
        <w:rPr>
          <w:color w:val="000000"/>
        </w:rPr>
      </w:pPr>
    </w:p>
    <w:p w14:paraId="05964D85">
      <w:pPr>
        <w:ind w:firstLine="562" w:firstLineChars="200"/>
        <w:rPr>
          <w:rFonts w:ascii="Times New Roman" w:hAnsi="Times New Roman"/>
          <w:b/>
          <w:color w:val="000000"/>
          <w:sz w:val="28"/>
          <w:szCs w:val="28"/>
        </w:rPr>
        <w:sectPr>
          <w:pgSz w:w="11906" w:h="16838"/>
          <w:pgMar w:top="720" w:right="720" w:bottom="720" w:left="1287" w:header="851" w:footer="992" w:gutter="0"/>
          <w:pgNumType w:fmt="decimal"/>
          <w:cols w:space="720" w:num="1"/>
          <w:docGrid w:type="lines" w:linePitch="312" w:charSpace="0"/>
        </w:sectPr>
      </w:pPr>
    </w:p>
    <w:p w14:paraId="50D57C41">
      <w:pPr>
        <w:spacing w:line="560" w:lineRule="exact"/>
        <w:ind w:firstLine="480" w:firstLineChars="200"/>
        <w:rPr>
          <w:rFonts w:hint="eastAsia" w:ascii="Times New Roman" w:hAnsi="Times New Roman" w:eastAsia="仿宋" w:cs="仿宋"/>
          <w:color w:val="000000"/>
        </w:rPr>
      </w:pPr>
      <w:r>
        <w:rPr>
          <w:rFonts w:hint="eastAsia" w:ascii="Times New Roman" w:hAnsi="Times New Roman" w:eastAsia="仿宋" w:cs="仿宋"/>
          <w:color w:val="000000"/>
        </w:rPr>
        <w:t>依据《中华人民共和国民法典》及其他有关法律法规规定，委托方（甲方）与受托</w:t>
      </w:r>
      <w:r>
        <w:rPr>
          <w:rFonts w:hint="eastAsia" w:ascii="Times New Roman" w:hAnsi="Times New Roman" w:eastAsia="仿宋" w:cs="仿宋"/>
        </w:rPr>
        <w:t>方（乙方）经友好</w:t>
      </w:r>
      <w:r>
        <w:rPr>
          <w:rFonts w:hint="eastAsia" w:ascii="Times New Roman" w:hAnsi="Times New Roman" w:eastAsia="仿宋" w:cs="仿宋"/>
          <w:color w:val="000000"/>
        </w:rPr>
        <w:t>协商，</w:t>
      </w:r>
      <w:r>
        <w:rPr>
          <w:rFonts w:hint="eastAsia" w:ascii="Times New Roman" w:hAnsi="Times New Roman" w:eastAsia="仿宋" w:cs="仿宋"/>
        </w:rPr>
        <w:t>在平等自愿的基础上，就甲方委托乙方提供</w:t>
      </w:r>
      <w:r>
        <w:rPr>
          <w:rFonts w:hint="eastAsia" w:ascii="Times New Roman" w:hAnsi="Times New Roman" w:eastAsia="仿宋" w:cs="仿宋"/>
          <w:lang w:eastAsia="zh-CN"/>
        </w:rPr>
        <w:t>福维新材料会议室系统建设项目</w:t>
      </w:r>
      <w:r>
        <w:rPr>
          <w:rFonts w:hint="eastAsia" w:ascii="Times New Roman" w:hAnsi="Times New Roman" w:eastAsia="仿宋" w:cs="仿宋"/>
        </w:rPr>
        <w:t>的供货及相关服务</w:t>
      </w:r>
      <w:r>
        <w:rPr>
          <w:rFonts w:hint="eastAsia" w:ascii="Times New Roman" w:hAnsi="Times New Roman" w:eastAsia="仿宋" w:cs="仿宋"/>
          <w:color w:val="000000"/>
        </w:rPr>
        <w:t>订立本合同。</w:t>
      </w:r>
    </w:p>
    <w:p w14:paraId="38CDB3DE">
      <w:pPr>
        <w:numPr>
          <w:ilvl w:val="0"/>
          <w:numId w:val="17"/>
        </w:numPr>
        <w:spacing w:line="560" w:lineRule="exact"/>
        <w:ind w:firstLine="480" w:firstLineChars="200"/>
        <w:rPr>
          <w:rFonts w:hint="eastAsia" w:ascii="Times New Roman" w:hAnsi="Times New Roman" w:eastAsia="仿宋" w:cs="仿宋"/>
          <w:color w:val="000000"/>
        </w:rPr>
      </w:pPr>
      <w:r>
        <w:rPr>
          <w:rFonts w:hint="eastAsia" w:ascii="Times New Roman" w:hAnsi="Times New Roman" w:eastAsia="仿宋" w:cs="仿宋"/>
          <w:color w:val="000000"/>
        </w:rPr>
        <w:t>采购内容</w:t>
      </w:r>
    </w:p>
    <w:tbl>
      <w:tblPr>
        <w:tblStyle w:val="28"/>
        <w:tblW w:w="499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71"/>
        <w:gridCol w:w="936"/>
        <w:gridCol w:w="2677"/>
        <w:gridCol w:w="883"/>
        <w:gridCol w:w="2932"/>
      </w:tblGrid>
      <w:tr w14:paraId="51CBF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525" w:type="pct"/>
            <w:tcBorders>
              <w:bottom w:val="single" w:color="auto" w:sz="4" w:space="0"/>
            </w:tcBorders>
            <w:vAlign w:val="top"/>
          </w:tcPr>
          <w:p w14:paraId="4BD8AD42">
            <w:pPr>
              <w:pStyle w:val="26"/>
              <w:keepNext w:val="0"/>
              <w:keepLines w:val="0"/>
              <w:pageBreakBefore w:val="0"/>
              <w:wordWrap/>
              <w:topLinePunct w:val="0"/>
              <w:bidi w:val="0"/>
              <w:spacing w:line="360" w:lineRule="auto"/>
              <w:ind w:left="129"/>
              <w:textAlignment w:val="auto"/>
              <w:rPr>
                <w:rFonts w:hint="eastAsia" w:ascii="仿宋" w:hAnsi="仿宋" w:eastAsia="仿宋" w:cs="仿宋"/>
                <w:sz w:val="21"/>
                <w:szCs w:val="21"/>
                <w:highlight w:val="none"/>
              </w:rPr>
            </w:pPr>
            <w:r>
              <w:rPr>
                <w:rFonts w:hint="eastAsia" w:ascii="仿宋" w:hAnsi="仿宋" w:eastAsia="仿宋" w:cs="仿宋"/>
                <w:spacing w:val="-4"/>
                <w:sz w:val="21"/>
                <w:szCs w:val="21"/>
                <w:highlight w:val="none"/>
              </w:rPr>
              <w:t>合同包</w:t>
            </w:r>
          </w:p>
        </w:tc>
        <w:tc>
          <w:tcPr>
            <w:tcW w:w="564" w:type="pct"/>
            <w:tcBorders>
              <w:bottom w:val="single" w:color="auto" w:sz="4" w:space="0"/>
            </w:tcBorders>
            <w:vAlign w:val="top"/>
          </w:tcPr>
          <w:p w14:paraId="568DEA9F">
            <w:pPr>
              <w:pStyle w:val="26"/>
              <w:keepNext w:val="0"/>
              <w:keepLines w:val="0"/>
              <w:pageBreakBefore w:val="0"/>
              <w:wordWrap/>
              <w:topLinePunct w:val="0"/>
              <w:bidi w:val="0"/>
              <w:spacing w:line="360" w:lineRule="auto"/>
              <w:ind w:left="146"/>
              <w:textAlignment w:val="auto"/>
              <w:rPr>
                <w:rFonts w:hint="eastAsia" w:ascii="仿宋" w:hAnsi="仿宋" w:eastAsia="仿宋" w:cs="仿宋"/>
                <w:sz w:val="21"/>
                <w:szCs w:val="21"/>
                <w:highlight w:val="none"/>
              </w:rPr>
            </w:pPr>
            <w:r>
              <w:rPr>
                <w:rFonts w:hint="eastAsia" w:ascii="仿宋" w:hAnsi="仿宋" w:eastAsia="仿宋" w:cs="仿宋"/>
                <w:spacing w:val="-10"/>
                <w:sz w:val="21"/>
                <w:szCs w:val="21"/>
                <w:highlight w:val="none"/>
              </w:rPr>
              <w:t>品目号</w:t>
            </w:r>
          </w:p>
        </w:tc>
        <w:tc>
          <w:tcPr>
            <w:tcW w:w="1613" w:type="pct"/>
            <w:tcBorders>
              <w:bottom w:val="single" w:color="auto" w:sz="4" w:space="0"/>
            </w:tcBorders>
            <w:vAlign w:val="center"/>
          </w:tcPr>
          <w:p w14:paraId="11F3CCE8">
            <w:pPr>
              <w:pStyle w:val="26"/>
              <w:keepNext w:val="0"/>
              <w:keepLines w:val="0"/>
              <w:pageBreakBefore w:val="0"/>
              <w:wordWrap/>
              <w:topLinePunct w:val="0"/>
              <w:bidi w:val="0"/>
              <w:spacing w:line="360" w:lineRule="auto"/>
              <w:jc w:val="center"/>
              <w:textAlignment w:val="auto"/>
              <w:rPr>
                <w:rFonts w:hint="eastAsia" w:ascii="仿宋" w:hAnsi="仿宋" w:eastAsia="仿宋" w:cs="仿宋"/>
                <w:sz w:val="21"/>
                <w:szCs w:val="21"/>
                <w:highlight w:val="none"/>
              </w:rPr>
            </w:pPr>
            <w:r>
              <w:rPr>
                <w:rFonts w:hint="eastAsia" w:ascii="仿宋" w:hAnsi="仿宋" w:eastAsia="仿宋" w:cs="仿宋"/>
                <w:spacing w:val="-4"/>
                <w:sz w:val="21"/>
                <w:szCs w:val="21"/>
                <w:highlight w:val="none"/>
              </w:rPr>
              <w:t>货物名称</w:t>
            </w:r>
          </w:p>
        </w:tc>
        <w:tc>
          <w:tcPr>
            <w:tcW w:w="532" w:type="pct"/>
            <w:tcBorders>
              <w:bottom w:val="single" w:color="auto" w:sz="4" w:space="0"/>
            </w:tcBorders>
            <w:vAlign w:val="top"/>
          </w:tcPr>
          <w:p w14:paraId="1F522FBA">
            <w:pPr>
              <w:pStyle w:val="26"/>
              <w:keepNext w:val="0"/>
              <w:keepLines w:val="0"/>
              <w:pageBreakBefore w:val="0"/>
              <w:wordWrap/>
              <w:topLinePunct w:val="0"/>
              <w:bidi w:val="0"/>
              <w:spacing w:line="360" w:lineRule="auto"/>
              <w:jc w:val="center"/>
              <w:textAlignment w:val="auto"/>
              <w:rPr>
                <w:rFonts w:hint="eastAsia" w:ascii="仿宋" w:hAnsi="仿宋" w:eastAsia="仿宋" w:cs="仿宋"/>
                <w:sz w:val="21"/>
                <w:szCs w:val="21"/>
                <w:highlight w:val="none"/>
              </w:rPr>
            </w:pPr>
            <w:r>
              <w:rPr>
                <w:rFonts w:hint="eastAsia" w:ascii="仿宋" w:hAnsi="仿宋" w:eastAsia="仿宋" w:cs="仿宋"/>
                <w:spacing w:val="-6"/>
                <w:sz w:val="21"/>
                <w:szCs w:val="21"/>
                <w:highlight w:val="none"/>
              </w:rPr>
              <w:t>数量</w:t>
            </w:r>
          </w:p>
        </w:tc>
        <w:tc>
          <w:tcPr>
            <w:tcW w:w="1763" w:type="pct"/>
            <w:tcBorders>
              <w:bottom w:val="single" w:color="auto" w:sz="4" w:space="0"/>
            </w:tcBorders>
            <w:vAlign w:val="top"/>
          </w:tcPr>
          <w:p w14:paraId="2A0C09C4">
            <w:pPr>
              <w:pStyle w:val="26"/>
              <w:keepNext w:val="0"/>
              <w:keepLines w:val="0"/>
              <w:pageBreakBefore w:val="0"/>
              <w:wordWrap/>
              <w:topLinePunct w:val="0"/>
              <w:bidi w:val="0"/>
              <w:spacing w:line="360" w:lineRule="auto"/>
              <w:jc w:val="center"/>
              <w:textAlignment w:val="auto"/>
              <w:rPr>
                <w:rFonts w:hint="eastAsia" w:ascii="仿宋" w:hAnsi="仿宋" w:eastAsia="仿宋" w:cs="仿宋"/>
                <w:sz w:val="21"/>
                <w:szCs w:val="21"/>
                <w:highlight w:val="none"/>
              </w:rPr>
            </w:pPr>
            <w:r>
              <w:rPr>
                <w:rFonts w:hint="eastAsia" w:ascii="仿宋" w:hAnsi="仿宋" w:eastAsia="仿宋" w:cs="仿宋"/>
                <w:spacing w:val="-2"/>
                <w:sz w:val="21"/>
                <w:szCs w:val="21"/>
                <w:highlight w:val="none"/>
              </w:rPr>
              <w:t>主要技术规格和要求</w:t>
            </w:r>
          </w:p>
        </w:tc>
      </w:tr>
      <w:tr w14:paraId="44E82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525" w:type="pct"/>
            <w:vMerge w:val="restart"/>
            <w:tcBorders>
              <w:top w:val="single" w:color="auto" w:sz="4" w:space="0"/>
              <w:left w:val="single" w:color="auto" w:sz="4" w:space="0"/>
              <w:bottom w:val="single" w:color="auto" w:sz="4" w:space="0"/>
              <w:right w:val="single" w:color="auto" w:sz="4" w:space="0"/>
            </w:tcBorders>
            <w:vAlign w:val="center"/>
          </w:tcPr>
          <w:p w14:paraId="736BCD25">
            <w:pPr>
              <w:keepNext w:val="0"/>
              <w:keepLines w:val="0"/>
              <w:pageBreakBefore w:val="0"/>
              <w:wordWrap/>
              <w:topLinePunct w:val="0"/>
              <w:bidi w:val="0"/>
              <w:spacing w:line="36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14:paraId="11E48CF9">
            <w:pPr>
              <w:spacing w:beforeLines="0" w:afterLines="0"/>
              <w:jc w:val="center"/>
              <w:rPr>
                <w:rFonts w:hint="default" w:ascii="仿宋" w:hAnsi="仿宋" w:eastAsia="仿宋" w:cs="仿宋"/>
                <w:b w:val="0"/>
                <w:bCs w:val="0"/>
                <w:color w:val="000000"/>
                <w:sz w:val="21"/>
                <w:szCs w:val="21"/>
                <w:highlight w:val="none"/>
                <w:lang w:val="en-US" w:eastAsia="zh-CN" w:bidi="ar-SA"/>
              </w:rPr>
            </w:pPr>
            <w:r>
              <w:rPr>
                <w:rFonts w:hint="eastAsia" w:ascii="仿宋" w:hAnsi="仿宋" w:eastAsia="仿宋" w:cs="仿宋"/>
                <w:b w:val="0"/>
                <w:bCs w:val="0"/>
                <w:color w:val="000000"/>
                <w:sz w:val="21"/>
                <w:szCs w:val="21"/>
                <w:highlight w:val="none"/>
                <w:lang w:val="en-US" w:eastAsia="zh-CN"/>
              </w:rPr>
              <w:t>1-1</w:t>
            </w:r>
          </w:p>
        </w:tc>
        <w:tc>
          <w:tcPr>
            <w:tcW w:w="1613" w:type="pct"/>
            <w:tcBorders>
              <w:top w:val="single" w:color="auto" w:sz="4" w:space="0"/>
              <w:left w:val="single" w:color="auto" w:sz="4" w:space="0"/>
              <w:bottom w:val="single" w:color="auto" w:sz="4" w:space="0"/>
              <w:right w:val="single" w:color="auto" w:sz="4" w:space="0"/>
            </w:tcBorders>
            <w:shd w:val="clear" w:color="auto" w:fill="auto"/>
            <w:vAlign w:val="center"/>
          </w:tcPr>
          <w:p w14:paraId="2C275F2C">
            <w:pPr>
              <w:spacing w:beforeLines="0" w:afterLines="0"/>
              <w:jc w:val="center"/>
              <w:rPr>
                <w:rFonts w:hint="eastAsia" w:ascii="仿宋" w:hAnsi="仿宋" w:eastAsia="仿宋" w:cs="仿宋"/>
                <w:b w:val="0"/>
                <w:bCs w:val="0"/>
                <w:color w:val="000000"/>
                <w:sz w:val="21"/>
                <w:szCs w:val="21"/>
                <w:highlight w:val="none"/>
                <w:lang w:val="en-US" w:eastAsia="zh-CN" w:bidi="ar-SA"/>
              </w:rPr>
            </w:pPr>
            <w:r>
              <w:rPr>
                <w:rFonts w:hint="eastAsia" w:ascii="仿宋" w:hAnsi="仿宋" w:eastAsia="仿宋" w:cs="仿宋"/>
                <w:b w:val="0"/>
                <w:bCs w:val="0"/>
                <w:color w:val="000000"/>
                <w:sz w:val="21"/>
                <w:szCs w:val="21"/>
                <w:highlight w:val="none"/>
              </w:rPr>
              <w:t>视频会议系统</w:t>
            </w:r>
          </w:p>
        </w:tc>
        <w:tc>
          <w:tcPr>
            <w:tcW w:w="532" w:type="pct"/>
            <w:tcBorders>
              <w:top w:val="single" w:color="auto" w:sz="4" w:space="0"/>
              <w:left w:val="single" w:color="auto" w:sz="4" w:space="0"/>
              <w:bottom w:val="single" w:color="auto" w:sz="4" w:space="0"/>
              <w:right w:val="single" w:color="auto" w:sz="4" w:space="0"/>
            </w:tcBorders>
            <w:vAlign w:val="center"/>
          </w:tcPr>
          <w:p w14:paraId="1CB3201D">
            <w:pPr>
              <w:pStyle w:val="26"/>
              <w:keepNext w:val="0"/>
              <w:keepLines w:val="0"/>
              <w:pageBreakBefore w:val="0"/>
              <w:wordWrap/>
              <w:topLinePunct w:val="0"/>
              <w:bidi w:val="0"/>
              <w:spacing w:line="360" w:lineRule="auto"/>
              <w:jc w:val="center"/>
              <w:textAlignment w:val="auto"/>
              <w:rPr>
                <w:rFonts w:hint="eastAsia" w:ascii="仿宋" w:hAnsi="仿宋" w:eastAsia="仿宋" w:cs="仿宋"/>
                <w:sz w:val="21"/>
                <w:szCs w:val="21"/>
                <w:highlight w:val="none"/>
              </w:rPr>
            </w:pPr>
            <w:r>
              <w:rPr>
                <w:rFonts w:hint="eastAsia" w:ascii="仿宋" w:hAnsi="仿宋" w:eastAsia="仿宋" w:cs="仿宋"/>
                <w:spacing w:val="-11"/>
                <w:sz w:val="21"/>
                <w:szCs w:val="21"/>
                <w:highlight w:val="none"/>
              </w:rPr>
              <w:t>1</w:t>
            </w:r>
            <w:r>
              <w:rPr>
                <w:rFonts w:hint="eastAsia" w:ascii="仿宋" w:hAnsi="仿宋" w:eastAsia="仿宋" w:cs="仿宋"/>
                <w:spacing w:val="17"/>
                <w:w w:val="101"/>
                <w:sz w:val="21"/>
                <w:szCs w:val="21"/>
                <w:highlight w:val="none"/>
              </w:rPr>
              <w:t xml:space="preserve"> </w:t>
            </w:r>
            <w:r>
              <w:rPr>
                <w:rFonts w:hint="eastAsia" w:ascii="仿宋" w:hAnsi="仿宋" w:eastAsia="仿宋" w:cs="仿宋"/>
                <w:spacing w:val="-11"/>
                <w:sz w:val="21"/>
                <w:szCs w:val="21"/>
                <w:highlight w:val="none"/>
              </w:rPr>
              <w:t>项</w:t>
            </w:r>
          </w:p>
        </w:tc>
        <w:tc>
          <w:tcPr>
            <w:tcW w:w="1763" w:type="pct"/>
            <w:vMerge w:val="restart"/>
            <w:tcBorders>
              <w:top w:val="single" w:color="auto" w:sz="4" w:space="0"/>
              <w:left w:val="single" w:color="auto" w:sz="4" w:space="0"/>
              <w:bottom w:val="single" w:color="auto" w:sz="4" w:space="0"/>
              <w:right w:val="single" w:color="auto" w:sz="4" w:space="0"/>
            </w:tcBorders>
            <w:vAlign w:val="center"/>
          </w:tcPr>
          <w:p w14:paraId="29349B34">
            <w:pPr>
              <w:pStyle w:val="26"/>
              <w:keepNext w:val="0"/>
              <w:keepLines w:val="0"/>
              <w:pageBreakBefore w:val="0"/>
              <w:wordWrap/>
              <w:topLinePunct w:val="0"/>
              <w:bidi w:val="0"/>
              <w:spacing w:line="360" w:lineRule="auto"/>
              <w:ind w:left="122" w:right="624" w:hanging="1"/>
              <w:jc w:val="center"/>
              <w:textAlignment w:val="auto"/>
              <w:rPr>
                <w:rFonts w:hint="eastAsia" w:ascii="仿宋" w:hAnsi="仿宋" w:eastAsia="仿宋" w:cs="仿宋"/>
                <w:sz w:val="21"/>
                <w:szCs w:val="21"/>
                <w:highlight w:val="none"/>
              </w:rPr>
            </w:pPr>
            <w:r>
              <w:rPr>
                <w:rFonts w:hint="eastAsia" w:ascii="仿宋" w:hAnsi="仿宋" w:eastAsia="仿宋" w:cs="仿宋"/>
                <w:spacing w:val="-2"/>
                <w:sz w:val="21"/>
                <w:szCs w:val="21"/>
                <w:highlight w:val="none"/>
              </w:rPr>
              <w:t>具体详见</w:t>
            </w:r>
            <w:r>
              <w:rPr>
                <w:rFonts w:hint="eastAsia" w:ascii="仿宋" w:hAnsi="仿宋" w:eastAsia="仿宋" w:cs="仿宋"/>
                <w:spacing w:val="-2"/>
                <w:sz w:val="21"/>
                <w:szCs w:val="21"/>
                <w:highlight w:val="none"/>
                <w:lang w:val="en-US" w:eastAsia="zh-CN"/>
              </w:rPr>
              <w:t>“附件1：供货清单”</w:t>
            </w:r>
            <w:r>
              <w:rPr>
                <w:rFonts w:hint="eastAsia" w:ascii="仿宋" w:hAnsi="仿宋" w:eastAsia="仿宋" w:cs="仿宋"/>
                <w:spacing w:val="-15"/>
                <w:sz w:val="21"/>
                <w:szCs w:val="21"/>
                <w:highlight w:val="none"/>
              </w:rPr>
              <w:t>。</w:t>
            </w:r>
          </w:p>
        </w:tc>
      </w:tr>
      <w:tr w14:paraId="55CC8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525" w:type="pct"/>
            <w:vMerge w:val="continue"/>
            <w:tcBorders>
              <w:left w:val="single" w:color="auto" w:sz="4" w:space="0"/>
              <w:right w:val="single" w:color="auto" w:sz="4" w:space="0"/>
            </w:tcBorders>
            <w:vAlign w:val="center"/>
          </w:tcPr>
          <w:p w14:paraId="67CB64F9">
            <w:pPr>
              <w:keepNext w:val="0"/>
              <w:keepLines w:val="0"/>
              <w:pageBreakBefore w:val="0"/>
              <w:wordWrap/>
              <w:topLinePunct w:val="0"/>
              <w:bidi w:val="0"/>
              <w:spacing w:line="360" w:lineRule="auto"/>
              <w:jc w:val="center"/>
              <w:textAlignment w:val="auto"/>
              <w:rPr>
                <w:rFonts w:hint="eastAsia" w:ascii="仿宋" w:hAnsi="仿宋" w:eastAsia="仿宋" w:cs="仿宋"/>
                <w:sz w:val="21"/>
                <w:szCs w:val="21"/>
                <w:highlight w:val="yellow"/>
              </w:rPr>
            </w:pPr>
          </w:p>
        </w:tc>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14:paraId="504237B4">
            <w:pPr>
              <w:spacing w:beforeLines="0" w:afterLines="0"/>
              <w:jc w:val="center"/>
              <w:rPr>
                <w:rFonts w:hint="default" w:ascii="仿宋" w:hAnsi="仿宋" w:eastAsia="仿宋" w:cs="仿宋"/>
                <w:b w:val="0"/>
                <w:bCs w:val="0"/>
                <w:color w:val="000000"/>
                <w:sz w:val="21"/>
                <w:szCs w:val="21"/>
                <w:lang w:val="en-US" w:eastAsia="zh-CN" w:bidi="ar-SA"/>
              </w:rPr>
            </w:pPr>
            <w:r>
              <w:rPr>
                <w:rFonts w:hint="eastAsia" w:ascii="仿宋" w:hAnsi="仿宋" w:eastAsia="仿宋" w:cs="仿宋"/>
                <w:b w:val="0"/>
                <w:bCs w:val="0"/>
                <w:color w:val="000000"/>
                <w:sz w:val="21"/>
                <w:szCs w:val="21"/>
                <w:lang w:val="en-US" w:eastAsia="zh-CN"/>
              </w:rPr>
              <w:t>1-2</w:t>
            </w:r>
          </w:p>
        </w:tc>
        <w:tc>
          <w:tcPr>
            <w:tcW w:w="1613" w:type="pct"/>
            <w:tcBorders>
              <w:top w:val="single" w:color="auto" w:sz="4" w:space="0"/>
              <w:left w:val="single" w:color="auto" w:sz="4" w:space="0"/>
              <w:bottom w:val="single" w:color="auto" w:sz="4" w:space="0"/>
              <w:right w:val="single" w:color="auto" w:sz="4" w:space="0"/>
            </w:tcBorders>
            <w:shd w:val="clear" w:color="auto" w:fill="auto"/>
            <w:vAlign w:val="center"/>
          </w:tcPr>
          <w:p w14:paraId="50F43B69">
            <w:pPr>
              <w:spacing w:beforeLines="0" w:afterLines="0"/>
              <w:jc w:val="center"/>
              <w:rPr>
                <w:rFonts w:hint="eastAsia" w:ascii="仿宋" w:hAnsi="仿宋" w:eastAsia="仿宋" w:cs="仿宋"/>
                <w:b w:val="0"/>
                <w:bCs w:val="0"/>
                <w:color w:val="000000"/>
                <w:sz w:val="21"/>
                <w:szCs w:val="21"/>
                <w:lang w:val="en-US" w:eastAsia="en-US" w:bidi="ar-SA"/>
              </w:rPr>
            </w:pPr>
            <w:r>
              <w:rPr>
                <w:rFonts w:hint="eastAsia" w:ascii="仿宋" w:hAnsi="仿宋" w:eastAsia="仿宋" w:cs="仿宋"/>
                <w:b w:val="0"/>
                <w:bCs w:val="0"/>
                <w:color w:val="000000"/>
                <w:sz w:val="21"/>
                <w:szCs w:val="21"/>
              </w:rPr>
              <w:t>音频扩声系统</w:t>
            </w:r>
          </w:p>
        </w:tc>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14:paraId="20419A0A">
            <w:pPr>
              <w:pStyle w:val="26"/>
              <w:keepNext w:val="0"/>
              <w:keepLines w:val="0"/>
              <w:pageBreakBefore w:val="0"/>
              <w:wordWrap/>
              <w:topLinePunct w:val="0"/>
              <w:bidi w:val="0"/>
              <w:spacing w:line="360" w:lineRule="auto"/>
              <w:jc w:val="center"/>
              <w:textAlignment w:val="auto"/>
              <w:rPr>
                <w:rFonts w:hint="eastAsia" w:ascii="仿宋" w:hAnsi="仿宋" w:eastAsia="仿宋" w:cs="仿宋"/>
                <w:sz w:val="21"/>
                <w:szCs w:val="21"/>
                <w:highlight w:val="none"/>
                <w:lang w:val="en-US" w:eastAsia="en-US" w:bidi="ar-SA"/>
              </w:rPr>
            </w:pPr>
            <w:r>
              <w:rPr>
                <w:rFonts w:hint="eastAsia" w:ascii="仿宋" w:hAnsi="仿宋" w:eastAsia="仿宋" w:cs="仿宋"/>
                <w:spacing w:val="-11"/>
                <w:sz w:val="21"/>
                <w:szCs w:val="21"/>
                <w:highlight w:val="none"/>
              </w:rPr>
              <w:t>1</w:t>
            </w:r>
            <w:r>
              <w:rPr>
                <w:rFonts w:hint="eastAsia" w:ascii="仿宋" w:hAnsi="仿宋" w:eastAsia="仿宋" w:cs="仿宋"/>
                <w:spacing w:val="17"/>
                <w:w w:val="101"/>
                <w:sz w:val="21"/>
                <w:szCs w:val="21"/>
                <w:highlight w:val="none"/>
              </w:rPr>
              <w:t xml:space="preserve"> </w:t>
            </w:r>
            <w:r>
              <w:rPr>
                <w:rFonts w:hint="eastAsia" w:ascii="仿宋" w:hAnsi="仿宋" w:eastAsia="仿宋" w:cs="仿宋"/>
                <w:spacing w:val="-11"/>
                <w:sz w:val="21"/>
                <w:szCs w:val="21"/>
                <w:highlight w:val="none"/>
              </w:rPr>
              <w:t>项</w:t>
            </w:r>
          </w:p>
        </w:tc>
        <w:tc>
          <w:tcPr>
            <w:tcW w:w="1763" w:type="pct"/>
            <w:vMerge w:val="continue"/>
            <w:tcBorders>
              <w:left w:val="single" w:color="auto" w:sz="4" w:space="0"/>
              <w:right w:val="single" w:color="auto" w:sz="4" w:space="0"/>
            </w:tcBorders>
            <w:vAlign w:val="center"/>
          </w:tcPr>
          <w:p w14:paraId="2326B189">
            <w:pPr>
              <w:pStyle w:val="26"/>
              <w:keepNext w:val="0"/>
              <w:keepLines w:val="0"/>
              <w:pageBreakBefore w:val="0"/>
              <w:wordWrap/>
              <w:topLinePunct w:val="0"/>
              <w:bidi w:val="0"/>
              <w:spacing w:line="360" w:lineRule="auto"/>
              <w:ind w:left="122" w:right="624" w:hanging="1"/>
              <w:jc w:val="center"/>
              <w:textAlignment w:val="auto"/>
              <w:rPr>
                <w:rFonts w:hint="eastAsia" w:ascii="仿宋" w:hAnsi="仿宋" w:eastAsia="仿宋" w:cs="仿宋"/>
                <w:spacing w:val="-2"/>
                <w:sz w:val="21"/>
                <w:szCs w:val="21"/>
                <w:highlight w:val="yellow"/>
              </w:rPr>
            </w:pPr>
          </w:p>
        </w:tc>
      </w:tr>
      <w:tr w14:paraId="3ACA4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525" w:type="pct"/>
            <w:vMerge w:val="continue"/>
            <w:tcBorders>
              <w:left w:val="single" w:color="auto" w:sz="4" w:space="0"/>
              <w:right w:val="single" w:color="auto" w:sz="4" w:space="0"/>
            </w:tcBorders>
            <w:vAlign w:val="center"/>
          </w:tcPr>
          <w:p w14:paraId="3B7885BC">
            <w:pPr>
              <w:keepNext w:val="0"/>
              <w:keepLines w:val="0"/>
              <w:pageBreakBefore w:val="0"/>
              <w:wordWrap/>
              <w:topLinePunct w:val="0"/>
              <w:bidi w:val="0"/>
              <w:spacing w:line="360" w:lineRule="auto"/>
              <w:jc w:val="center"/>
              <w:textAlignment w:val="auto"/>
              <w:rPr>
                <w:rFonts w:hint="eastAsia" w:ascii="仿宋" w:hAnsi="仿宋" w:eastAsia="仿宋" w:cs="仿宋"/>
                <w:sz w:val="21"/>
                <w:szCs w:val="21"/>
                <w:highlight w:val="yellow"/>
              </w:rPr>
            </w:pPr>
          </w:p>
        </w:tc>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14:paraId="738980A3">
            <w:pPr>
              <w:spacing w:beforeLines="0" w:afterLines="0"/>
              <w:jc w:val="center"/>
              <w:rPr>
                <w:rFonts w:hint="eastAsia" w:ascii="仿宋" w:hAnsi="仿宋" w:eastAsia="仿宋" w:cs="仿宋"/>
                <w:b w:val="0"/>
                <w:bCs w:val="0"/>
                <w:color w:val="000000"/>
                <w:sz w:val="21"/>
                <w:szCs w:val="21"/>
                <w:lang w:val="en-US" w:eastAsia="zh-CN" w:bidi="ar-SA"/>
              </w:rPr>
            </w:pPr>
            <w:r>
              <w:rPr>
                <w:rFonts w:hint="eastAsia" w:ascii="仿宋" w:hAnsi="仿宋" w:eastAsia="仿宋" w:cs="仿宋"/>
                <w:b w:val="0"/>
                <w:bCs w:val="0"/>
                <w:color w:val="000000"/>
                <w:sz w:val="21"/>
                <w:szCs w:val="21"/>
                <w:lang w:val="en-US" w:eastAsia="zh-CN"/>
              </w:rPr>
              <w:t>1-3</w:t>
            </w:r>
          </w:p>
        </w:tc>
        <w:tc>
          <w:tcPr>
            <w:tcW w:w="1613" w:type="pct"/>
            <w:tcBorders>
              <w:top w:val="single" w:color="auto" w:sz="4" w:space="0"/>
              <w:left w:val="single" w:color="auto" w:sz="4" w:space="0"/>
              <w:bottom w:val="single" w:color="auto" w:sz="4" w:space="0"/>
              <w:right w:val="single" w:color="auto" w:sz="4" w:space="0"/>
            </w:tcBorders>
            <w:shd w:val="clear" w:color="auto" w:fill="auto"/>
            <w:vAlign w:val="center"/>
          </w:tcPr>
          <w:p w14:paraId="7F2CD769">
            <w:pPr>
              <w:spacing w:beforeLines="0" w:afterLines="0"/>
              <w:jc w:val="center"/>
              <w:rPr>
                <w:rFonts w:hint="eastAsia" w:ascii="仿宋" w:hAnsi="仿宋" w:eastAsia="仿宋" w:cs="仿宋"/>
                <w:b w:val="0"/>
                <w:bCs w:val="0"/>
                <w:color w:val="000000"/>
                <w:sz w:val="21"/>
                <w:szCs w:val="21"/>
                <w:lang w:val="en-US" w:eastAsia="zh-CN" w:bidi="ar-SA"/>
              </w:rPr>
            </w:pPr>
            <w:r>
              <w:rPr>
                <w:rFonts w:hint="eastAsia" w:ascii="仿宋" w:hAnsi="仿宋" w:eastAsia="仿宋" w:cs="仿宋"/>
                <w:b w:val="0"/>
                <w:bCs w:val="0"/>
                <w:color w:val="000000"/>
                <w:sz w:val="21"/>
                <w:szCs w:val="21"/>
              </w:rPr>
              <w:t>配套</w:t>
            </w:r>
            <w:r>
              <w:rPr>
                <w:rFonts w:hint="eastAsia" w:ascii="仿宋" w:hAnsi="仿宋" w:eastAsia="仿宋" w:cs="仿宋"/>
                <w:b w:val="0"/>
                <w:bCs w:val="0"/>
                <w:color w:val="000000"/>
                <w:sz w:val="21"/>
                <w:szCs w:val="21"/>
                <w:lang w:val="en-US" w:eastAsia="zh-CN"/>
              </w:rPr>
              <w:t>设施</w:t>
            </w:r>
          </w:p>
        </w:tc>
        <w:tc>
          <w:tcPr>
            <w:tcW w:w="532" w:type="pct"/>
            <w:tcBorders>
              <w:top w:val="single" w:color="auto" w:sz="4" w:space="0"/>
              <w:left w:val="single" w:color="auto" w:sz="4" w:space="0"/>
              <w:bottom w:val="single" w:color="auto" w:sz="4" w:space="0"/>
              <w:right w:val="single" w:color="auto" w:sz="4" w:space="0"/>
            </w:tcBorders>
            <w:vAlign w:val="center"/>
          </w:tcPr>
          <w:p w14:paraId="7DAE770A">
            <w:pPr>
              <w:keepNext w:val="0"/>
              <w:keepLines w:val="0"/>
              <w:pageBreakBefore w:val="0"/>
              <w:wordWrap/>
              <w:topLinePunct w:val="0"/>
              <w:bidi w:val="0"/>
              <w:spacing w:line="360" w:lineRule="auto"/>
              <w:jc w:val="center"/>
              <w:textAlignment w:val="auto"/>
              <w:rPr>
                <w:rFonts w:hint="eastAsia" w:ascii="仿宋" w:hAnsi="仿宋" w:eastAsia="仿宋" w:cs="仿宋"/>
                <w:spacing w:val="-11"/>
                <w:sz w:val="21"/>
                <w:szCs w:val="21"/>
                <w:highlight w:val="none"/>
              </w:rPr>
            </w:pPr>
            <w:r>
              <w:rPr>
                <w:rFonts w:hint="eastAsia" w:ascii="仿宋" w:hAnsi="仿宋" w:eastAsia="仿宋" w:cs="仿宋"/>
                <w:spacing w:val="-11"/>
                <w:sz w:val="21"/>
                <w:szCs w:val="21"/>
                <w:highlight w:val="none"/>
              </w:rPr>
              <w:t>1</w:t>
            </w:r>
            <w:r>
              <w:rPr>
                <w:rFonts w:hint="eastAsia" w:ascii="仿宋" w:hAnsi="仿宋" w:eastAsia="仿宋" w:cs="仿宋"/>
                <w:spacing w:val="17"/>
                <w:w w:val="101"/>
                <w:sz w:val="21"/>
                <w:szCs w:val="21"/>
                <w:highlight w:val="none"/>
              </w:rPr>
              <w:t xml:space="preserve"> </w:t>
            </w:r>
            <w:r>
              <w:rPr>
                <w:rFonts w:hint="eastAsia" w:ascii="仿宋" w:hAnsi="仿宋" w:eastAsia="仿宋" w:cs="仿宋"/>
                <w:spacing w:val="-11"/>
                <w:sz w:val="21"/>
                <w:szCs w:val="21"/>
                <w:highlight w:val="none"/>
              </w:rPr>
              <w:t>项</w:t>
            </w:r>
          </w:p>
        </w:tc>
        <w:tc>
          <w:tcPr>
            <w:tcW w:w="1763" w:type="pct"/>
            <w:vMerge w:val="continue"/>
            <w:tcBorders>
              <w:left w:val="single" w:color="auto" w:sz="4" w:space="0"/>
              <w:right w:val="single" w:color="auto" w:sz="4" w:space="0"/>
            </w:tcBorders>
            <w:vAlign w:val="center"/>
          </w:tcPr>
          <w:p w14:paraId="3F98A357">
            <w:pPr>
              <w:pStyle w:val="26"/>
              <w:keepNext w:val="0"/>
              <w:keepLines w:val="0"/>
              <w:pageBreakBefore w:val="0"/>
              <w:wordWrap/>
              <w:topLinePunct w:val="0"/>
              <w:bidi w:val="0"/>
              <w:spacing w:line="360" w:lineRule="auto"/>
              <w:ind w:left="122" w:right="624" w:hanging="1"/>
              <w:jc w:val="center"/>
              <w:textAlignment w:val="auto"/>
              <w:rPr>
                <w:rFonts w:hint="eastAsia" w:ascii="仿宋" w:hAnsi="仿宋" w:eastAsia="仿宋" w:cs="仿宋"/>
                <w:spacing w:val="-2"/>
                <w:sz w:val="21"/>
                <w:szCs w:val="21"/>
                <w:highlight w:val="yellow"/>
              </w:rPr>
            </w:pPr>
          </w:p>
        </w:tc>
      </w:tr>
      <w:tr w14:paraId="5DCD9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525" w:type="pct"/>
            <w:vMerge w:val="continue"/>
            <w:tcBorders>
              <w:left w:val="single" w:color="auto" w:sz="4" w:space="0"/>
              <w:right w:val="single" w:color="auto" w:sz="4" w:space="0"/>
            </w:tcBorders>
            <w:vAlign w:val="center"/>
          </w:tcPr>
          <w:p w14:paraId="627925BC">
            <w:pPr>
              <w:keepNext w:val="0"/>
              <w:keepLines w:val="0"/>
              <w:pageBreakBefore w:val="0"/>
              <w:wordWrap/>
              <w:topLinePunct w:val="0"/>
              <w:bidi w:val="0"/>
              <w:spacing w:line="360" w:lineRule="auto"/>
              <w:jc w:val="center"/>
              <w:textAlignment w:val="auto"/>
              <w:rPr>
                <w:rFonts w:hint="eastAsia" w:ascii="仿宋" w:hAnsi="仿宋" w:eastAsia="仿宋" w:cs="仿宋"/>
                <w:sz w:val="21"/>
                <w:szCs w:val="21"/>
                <w:highlight w:val="yellow"/>
              </w:rPr>
            </w:pPr>
          </w:p>
        </w:tc>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14:paraId="04B5C18C">
            <w:pPr>
              <w:spacing w:beforeLines="0" w:afterLines="0"/>
              <w:jc w:val="center"/>
              <w:rPr>
                <w:rFonts w:hint="default" w:ascii="仿宋" w:hAnsi="仿宋" w:eastAsia="仿宋" w:cs="仿宋"/>
                <w:b w:val="0"/>
                <w:bCs w:val="0"/>
                <w:color w:val="000000"/>
                <w:sz w:val="21"/>
                <w:szCs w:val="21"/>
                <w:lang w:val="en-US" w:eastAsia="zh-CN" w:bidi="ar-SA"/>
              </w:rPr>
            </w:pPr>
            <w:r>
              <w:rPr>
                <w:rFonts w:hint="eastAsia" w:ascii="仿宋" w:hAnsi="仿宋" w:eastAsia="仿宋" w:cs="仿宋"/>
                <w:b w:val="0"/>
                <w:bCs w:val="0"/>
                <w:color w:val="000000"/>
                <w:sz w:val="21"/>
                <w:szCs w:val="21"/>
                <w:lang w:val="en-US" w:eastAsia="zh-CN"/>
              </w:rPr>
              <w:t>1-4</w:t>
            </w:r>
          </w:p>
        </w:tc>
        <w:tc>
          <w:tcPr>
            <w:tcW w:w="1613" w:type="pct"/>
            <w:tcBorders>
              <w:top w:val="single" w:color="auto" w:sz="4" w:space="0"/>
              <w:left w:val="single" w:color="auto" w:sz="4" w:space="0"/>
              <w:bottom w:val="single" w:color="auto" w:sz="4" w:space="0"/>
              <w:right w:val="single" w:color="auto" w:sz="4" w:space="0"/>
            </w:tcBorders>
            <w:shd w:val="clear" w:color="auto" w:fill="auto"/>
            <w:vAlign w:val="center"/>
          </w:tcPr>
          <w:p w14:paraId="73281094">
            <w:pPr>
              <w:spacing w:beforeLines="0" w:afterLines="0"/>
              <w:jc w:val="center"/>
              <w:rPr>
                <w:rFonts w:hint="eastAsia" w:ascii="仿宋" w:hAnsi="仿宋" w:eastAsia="仿宋" w:cs="仿宋"/>
                <w:b w:val="0"/>
                <w:bCs w:val="0"/>
                <w:color w:val="000000"/>
                <w:sz w:val="21"/>
                <w:szCs w:val="21"/>
                <w:lang w:val="en-US" w:eastAsia="zh-CN" w:bidi="ar-SA"/>
              </w:rPr>
            </w:pPr>
            <w:r>
              <w:rPr>
                <w:rFonts w:hint="eastAsia" w:ascii="仿宋" w:hAnsi="仿宋" w:eastAsia="仿宋" w:cs="仿宋"/>
                <w:b w:val="0"/>
                <w:bCs w:val="0"/>
                <w:color w:val="000000"/>
                <w:sz w:val="21"/>
                <w:szCs w:val="21"/>
              </w:rPr>
              <w:t>系统集成</w:t>
            </w:r>
          </w:p>
        </w:tc>
        <w:tc>
          <w:tcPr>
            <w:tcW w:w="532" w:type="pct"/>
            <w:tcBorders>
              <w:top w:val="single" w:color="auto" w:sz="4" w:space="0"/>
              <w:left w:val="single" w:color="auto" w:sz="4" w:space="0"/>
              <w:bottom w:val="single" w:color="auto" w:sz="4" w:space="0"/>
              <w:right w:val="single" w:color="auto" w:sz="4" w:space="0"/>
            </w:tcBorders>
            <w:vAlign w:val="center"/>
          </w:tcPr>
          <w:p w14:paraId="75BA08C1">
            <w:pPr>
              <w:keepNext w:val="0"/>
              <w:keepLines w:val="0"/>
              <w:pageBreakBefore w:val="0"/>
              <w:wordWrap/>
              <w:topLinePunct w:val="0"/>
              <w:bidi w:val="0"/>
              <w:spacing w:line="360" w:lineRule="auto"/>
              <w:jc w:val="center"/>
              <w:textAlignment w:val="auto"/>
              <w:rPr>
                <w:rFonts w:hint="eastAsia" w:ascii="仿宋" w:hAnsi="仿宋" w:eastAsia="仿宋" w:cs="仿宋"/>
                <w:spacing w:val="-11"/>
                <w:sz w:val="21"/>
                <w:szCs w:val="21"/>
                <w:highlight w:val="none"/>
              </w:rPr>
            </w:pPr>
            <w:r>
              <w:rPr>
                <w:rFonts w:hint="eastAsia" w:ascii="仿宋" w:hAnsi="仿宋" w:eastAsia="仿宋" w:cs="仿宋"/>
                <w:spacing w:val="-11"/>
                <w:sz w:val="21"/>
                <w:szCs w:val="21"/>
                <w:highlight w:val="none"/>
              </w:rPr>
              <w:t>1</w:t>
            </w:r>
            <w:r>
              <w:rPr>
                <w:rFonts w:hint="eastAsia" w:ascii="仿宋" w:hAnsi="仿宋" w:eastAsia="仿宋" w:cs="仿宋"/>
                <w:spacing w:val="17"/>
                <w:w w:val="101"/>
                <w:sz w:val="21"/>
                <w:szCs w:val="21"/>
                <w:highlight w:val="none"/>
              </w:rPr>
              <w:t xml:space="preserve"> </w:t>
            </w:r>
            <w:r>
              <w:rPr>
                <w:rFonts w:hint="eastAsia" w:ascii="仿宋" w:hAnsi="仿宋" w:eastAsia="仿宋" w:cs="仿宋"/>
                <w:spacing w:val="-11"/>
                <w:sz w:val="21"/>
                <w:szCs w:val="21"/>
                <w:highlight w:val="none"/>
              </w:rPr>
              <w:t>项</w:t>
            </w:r>
          </w:p>
        </w:tc>
        <w:tc>
          <w:tcPr>
            <w:tcW w:w="1763" w:type="pct"/>
            <w:vMerge w:val="continue"/>
            <w:tcBorders>
              <w:left w:val="single" w:color="auto" w:sz="4" w:space="0"/>
              <w:right w:val="single" w:color="auto" w:sz="4" w:space="0"/>
            </w:tcBorders>
            <w:vAlign w:val="center"/>
          </w:tcPr>
          <w:p w14:paraId="68C0B34A">
            <w:pPr>
              <w:pStyle w:val="26"/>
              <w:keepNext w:val="0"/>
              <w:keepLines w:val="0"/>
              <w:pageBreakBefore w:val="0"/>
              <w:wordWrap/>
              <w:topLinePunct w:val="0"/>
              <w:bidi w:val="0"/>
              <w:spacing w:line="360" w:lineRule="auto"/>
              <w:ind w:left="122" w:right="624" w:hanging="1"/>
              <w:jc w:val="center"/>
              <w:textAlignment w:val="auto"/>
              <w:rPr>
                <w:rFonts w:hint="eastAsia" w:ascii="仿宋" w:hAnsi="仿宋" w:eastAsia="仿宋" w:cs="仿宋"/>
                <w:spacing w:val="-2"/>
                <w:sz w:val="21"/>
                <w:szCs w:val="21"/>
                <w:highlight w:val="yellow"/>
              </w:rPr>
            </w:pPr>
          </w:p>
        </w:tc>
      </w:tr>
      <w:tr w14:paraId="21143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7"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1110EE27">
            <w:pPr>
              <w:pStyle w:val="26"/>
              <w:keepNext w:val="0"/>
              <w:keepLines w:val="0"/>
              <w:pageBreakBefore w:val="0"/>
              <w:wordWrap/>
              <w:topLinePunct w:val="0"/>
              <w:bidi w:val="0"/>
              <w:spacing w:line="360" w:lineRule="auto"/>
              <w:jc w:val="left"/>
              <w:textAlignment w:val="auto"/>
              <w:rPr>
                <w:rFonts w:hint="eastAsia" w:ascii="仿宋" w:hAnsi="仿宋" w:eastAsia="仿宋" w:cs="仿宋"/>
                <w:sz w:val="21"/>
                <w:szCs w:val="21"/>
                <w:highlight w:val="yellow"/>
              </w:rPr>
            </w:pPr>
            <w:r>
              <w:rPr>
                <w:rFonts w:hint="eastAsia" w:ascii="仿宋" w:hAnsi="仿宋" w:eastAsia="仿宋" w:cs="仿宋"/>
                <w:spacing w:val="-1"/>
                <w:sz w:val="21"/>
                <w:szCs w:val="21"/>
                <w:highlight w:val="yellow"/>
              </w:rPr>
              <w:t>（1）交货期要求：合同生效之日起</w:t>
            </w:r>
            <w:r>
              <w:rPr>
                <w:rFonts w:hint="eastAsia" w:ascii="仿宋" w:hAnsi="仿宋" w:eastAsia="仿宋" w:cs="仿宋"/>
                <w:spacing w:val="-55"/>
                <w:sz w:val="21"/>
                <w:szCs w:val="21"/>
                <w:highlight w:val="yellow"/>
                <w:lang w:val="en-US" w:eastAsia="zh-CN"/>
              </w:rPr>
              <w:t>3 0</w:t>
            </w:r>
            <w:r>
              <w:rPr>
                <w:rFonts w:hint="eastAsia" w:ascii="仿宋" w:hAnsi="仿宋" w:eastAsia="仿宋" w:cs="仿宋"/>
                <w:spacing w:val="-1"/>
                <w:sz w:val="21"/>
                <w:szCs w:val="21"/>
                <w:highlight w:val="yellow"/>
              </w:rPr>
              <w:t>个日历日内完成设备到货、安装及调</w:t>
            </w:r>
            <w:r>
              <w:rPr>
                <w:rFonts w:hint="eastAsia" w:ascii="仿宋" w:hAnsi="仿宋" w:eastAsia="仿宋" w:cs="仿宋"/>
                <w:spacing w:val="-2"/>
                <w:sz w:val="21"/>
                <w:szCs w:val="21"/>
                <w:highlight w:val="yellow"/>
              </w:rPr>
              <w:t>试。</w:t>
            </w:r>
          </w:p>
          <w:p w14:paraId="2CB0FCE6">
            <w:pPr>
              <w:pStyle w:val="26"/>
              <w:keepNext w:val="0"/>
              <w:keepLines w:val="0"/>
              <w:pageBreakBefore w:val="0"/>
              <w:wordWrap/>
              <w:topLinePunct w:val="0"/>
              <w:bidi w:val="0"/>
              <w:spacing w:line="360" w:lineRule="auto"/>
              <w:jc w:val="left"/>
              <w:textAlignment w:val="auto"/>
              <w:rPr>
                <w:rFonts w:hint="eastAsia" w:ascii="仿宋" w:hAnsi="仿宋" w:eastAsia="仿宋" w:cs="仿宋"/>
                <w:sz w:val="21"/>
                <w:szCs w:val="21"/>
                <w:highlight w:val="yellow"/>
              </w:rPr>
            </w:pPr>
            <w:r>
              <w:rPr>
                <w:rFonts w:hint="eastAsia" w:ascii="仿宋" w:hAnsi="仿宋" w:eastAsia="仿宋" w:cs="仿宋"/>
                <w:spacing w:val="-1"/>
                <w:sz w:val="21"/>
                <w:szCs w:val="21"/>
                <w:highlight w:val="yellow"/>
              </w:rPr>
              <w:t>（2）交货地点：</w:t>
            </w:r>
            <w:r>
              <w:rPr>
                <w:rFonts w:hint="eastAsia" w:ascii="仿宋" w:hAnsi="仿宋" w:eastAsia="仿宋" w:cs="仿宋"/>
                <w:spacing w:val="-1"/>
                <w:sz w:val="21"/>
                <w:szCs w:val="21"/>
                <w:highlight w:val="yellow"/>
                <w:lang w:val="en-US" w:eastAsia="zh-CN"/>
              </w:rPr>
              <w:t>甲方</w:t>
            </w:r>
            <w:r>
              <w:rPr>
                <w:rFonts w:hint="eastAsia" w:ascii="仿宋" w:hAnsi="仿宋" w:eastAsia="仿宋" w:cs="仿宋"/>
                <w:spacing w:val="-1"/>
                <w:sz w:val="21"/>
                <w:szCs w:val="21"/>
                <w:highlight w:val="yellow"/>
              </w:rPr>
              <w:t>指定的地点。</w:t>
            </w:r>
          </w:p>
          <w:p w14:paraId="10E8DAC0">
            <w:pPr>
              <w:pStyle w:val="26"/>
              <w:keepNext w:val="0"/>
              <w:keepLines w:val="0"/>
              <w:pageBreakBefore w:val="0"/>
              <w:wordWrap/>
              <w:topLinePunct w:val="0"/>
              <w:bidi w:val="0"/>
              <w:spacing w:line="360" w:lineRule="auto"/>
              <w:jc w:val="left"/>
              <w:textAlignment w:val="auto"/>
              <w:rPr>
                <w:rFonts w:hint="eastAsia" w:ascii="仿宋" w:hAnsi="仿宋" w:eastAsia="仿宋" w:cs="仿宋"/>
                <w:spacing w:val="-1"/>
                <w:sz w:val="21"/>
                <w:szCs w:val="21"/>
                <w:highlight w:val="yellow"/>
              </w:rPr>
            </w:pPr>
            <w:r>
              <w:rPr>
                <w:rFonts w:hint="eastAsia" w:ascii="仿宋" w:hAnsi="仿宋" w:eastAsia="仿宋" w:cs="仿宋"/>
                <w:spacing w:val="-1"/>
                <w:sz w:val="21"/>
                <w:szCs w:val="21"/>
                <w:highlight w:val="yellow"/>
              </w:rPr>
              <w:t>（3）质量要求：符合国家有关验收标准、规范及本招标项目</w:t>
            </w:r>
            <w:r>
              <w:rPr>
                <w:rFonts w:hint="eastAsia" w:ascii="仿宋" w:hAnsi="仿宋" w:eastAsia="仿宋" w:cs="仿宋"/>
                <w:spacing w:val="-1"/>
                <w:sz w:val="21"/>
                <w:szCs w:val="21"/>
                <w:highlight w:val="yellow"/>
                <w:lang w:val="en-US" w:eastAsia="zh-CN"/>
              </w:rPr>
              <w:t>相关要求</w:t>
            </w:r>
            <w:r>
              <w:rPr>
                <w:rFonts w:hint="eastAsia" w:ascii="仿宋" w:hAnsi="仿宋" w:eastAsia="仿宋" w:cs="仿宋"/>
                <w:spacing w:val="-1"/>
                <w:sz w:val="21"/>
                <w:szCs w:val="21"/>
                <w:highlight w:val="yellow"/>
              </w:rPr>
              <w:t>。</w:t>
            </w:r>
          </w:p>
          <w:p w14:paraId="6D99FCE9">
            <w:pPr>
              <w:pStyle w:val="29"/>
              <w:numPr>
                <w:ilvl w:val="0"/>
                <w:numId w:val="0"/>
              </w:numPr>
              <w:rPr>
                <w:rFonts w:hint="default" w:ascii="仿宋" w:hAnsi="仿宋" w:eastAsia="仿宋" w:cs="仿宋"/>
                <w:spacing w:val="-1"/>
                <w:sz w:val="21"/>
                <w:szCs w:val="21"/>
                <w:highlight w:val="yellow"/>
                <w:lang w:val="en-US" w:eastAsia="zh-CN"/>
              </w:rPr>
            </w:pPr>
            <w:bookmarkStart w:id="354" w:name="_Toc149557379"/>
            <w:r>
              <w:rPr>
                <w:rFonts w:hint="eastAsia" w:ascii="仿宋" w:hAnsi="仿宋" w:eastAsia="仿宋" w:cs="仿宋"/>
                <w:spacing w:val="-1"/>
                <w:sz w:val="21"/>
                <w:szCs w:val="21"/>
                <w:highlight w:val="yellow"/>
              </w:rPr>
              <w:t>（</w:t>
            </w:r>
            <w:r>
              <w:rPr>
                <w:rFonts w:hint="eastAsia" w:ascii="仿宋" w:hAnsi="仿宋" w:eastAsia="仿宋" w:cs="仿宋"/>
                <w:spacing w:val="-1"/>
                <w:sz w:val="21"/>
                <w:szCs w:val="21"/>
                <w:highlight w:val="yellow"/>
                <w:lang w:val="en-US" w:eastAsia="zh-CN"/>
              </w:rPr>
              <w:t>4</w:t>
            </w:r>
            <w:r>
              <w:rPr>
                <w:rFonts w:hint="eastAsia" w:ascii="仿宋" w:hAnsi="仿宋" w:eastAsia="仿宋" w:cs="仿宋"/>
                <w:spacing w:val="-1"/>
                <w:sz w:val="21"/>
                <w:szCs w:val="21"/>
                <w:highlight w:val="yellow"/>
              </w:rPr>
              <w:t>）</w:t>
            </w:r>
            <w:r>
              <w:rPr>
                <w:rFonts w:hint="eastAsia" w:ascii="仿宋" w:hAnsi="仿宋" w:eastAsia="仿宋" w:cs="仿宋"/>
                <w:spacing w:val="-1"/>
                <w:kern w:val="2"/>
                <w:sz w:val="21"/>
                <w:szCs w:val="21"/>
                <w:highlight w:val="yellow"/>
                <w:lang w:val="en-US" w:eastAsia="zh-CN" w:bidi="ar-SA"/>
              </w:rPr>
              <w:t>维保服务：</w:t>
            </w:r>
            <w:r>
              <w:rPr>
                <w:rFonts w:hint="eastAsia" w:ascii="仿宋" w:hAnsi="仿宋" w:eastAsia="仿宋" w:cs="仿宋"/>
                <w:spacing w:val="-1"/>
                <w:kern w:val="2"/>
                <w:sz w:val="21"/>
                <w:szCs w:val="21"/>
                <w:highlight w:val="yellow"/>
                <w:lang w:val="en-US" w:eastAsia="en-US" w:bidi="ar-SA"/>
              </w:rPr>
              <w:t>自</w:t>
            </w:r>
            <w:r>
              <w:rPr>
                <w:rFonts w:hint="eastAsia" w:cs="仿宋"/>
                <w:spacing w:val="-1"/>
                <w:kern w:val="2"/>
                <w:sz w:val="21"/>
                <w:szCs w:val="21"/>
                <w:highlight w:val="none"/>
                <w:lang w:val="en-US" w:eastAsia="zh-CN" w:bidi="ar-SA"/>
              </w:rPr>
              <w:t>项目通过终验</w:t>
            </w:r>
            <w:r>
              <w:rPr>
                <w:rFonts w:hint="eastAsia" w:ascii="仿宋" w:hAnsi="仿宋" w:eastAsia="仿宋" w:cs="仿宋"/>
                <w:spacing w:val="-1"/>
                <w:kern w:val="2"/>
                <w:sz w:val="21"/>
                <w:szCs w:val="21"/>
                <w:highlight w:val="yellow"/>
                <w:lang w:val="en-US" w:eastAsia="en-US" w:bidi="ar-SA"/>
              </w:rPr>
              <w:t>之日起，</w:t>
            </w:r>
            <w:r>
              <w:rPr>
                <w:rFonts w:hint="eastAsia" w:cs="仿宋"/>
                <w:spacing w:val="-1"/>
                <w:kern w:val="2"/>
                <w:sz w:val="21"/>
                <w:szCs w:val="21"/>
                <w:highlight w:val="yellow"/>
                <w:lang w:val="en-US" w:eastAsia="zh-CN" w:bidi="ar-SA"/>
              </w:rPr>
              <w:t>视频会议终端、高清视频会议摄像机提供3年质保，其余设备提供1年质保</w:t>
            </w:r>
            <w:bookmarkEnd w:id="354"/>
            <w:r>
              <w:rPr>
                <w:rFonts w:hint="eastAsia" w:cs="仿宋"/>
                <w:spacing w:val="-1"/>
                <w:kern w:val="2"/>
                <w:sz w:val="21"/>
                <w:szCs w:val="21"/>
                <w:highlight w:val="yellow"/>
                <w:lang w:val="en-US" w:eastAsia="zh-CN" w:bidi="ar-SA"/>
              </w:rPr>
              <w:t>。</w:t>
            </w:r>
          </w:p>
        </w:tc>
      </w:tr>
    </w:tbl>
    <w:p w14:paraId="4DD1EDC2">
      <w:pPr>
        <w:numPr>
          <w:ilvl w:val="0"/>
          <w:numId w:val="17"/>
        </w:numPr>
        <w:spacing w:line="560" w:lineRule="exact"/>
        <w:ind w:firstLine="480" w:firstLineChars="200"/>
        <w:rPr>
          <w:rFonts w:hint="eastAsia" w:ascii="Times New Roman" w:hAnsi="Times New Roman" w:eastAsia="仿宋" w:cs="仿宋"/>
          <w:color w:val="000000"/>
        </w:rPr>
      </w:pPr>
      <w:r>
        <w:rPr>
          <w:rFonts w:hint="eastAsia" w:ascii="Times New Roman" w:hAnsi="Times New Roman" w:eastAsia="仿宋" w:cs="仿宋"/>
          <w:color w:val="000000"/>
        </w:rPr>
        <w:t>合同价格与支付方式：</w:t>
      </w:r>
    </w:p>
    <w:p w14:paraId="6FB00E47">
      <w:pPr>
        <w:keepNext w:val="0"/>
        <w:keepLines w:val="0"/>
        <w:pageBreakBefore w:val="0"/>
        <w:kinsoku/>
        <w:wordWrap/>
        <w:overflowPunct/>
        <w:topLinePunct w:val="0"/>
        <w:bidi w:val="0"/>
        <w:adjustRightInd/>
        <w:snapToGrid/>
        <w:spacing w:line="520" w:lineRule="exact"/>
        <w:ind w:left="0" w:firstLine="480" w:firstLineChars="200"/>
        <w:jc w:val="both"/>
        <w:textAlignment w:val="auto"/>
        <w:rPr>
          <w:rFonts w:hint="default" w:ascii="Times New Roman" w:hAnsi="Times New Roman" w:eastAsia="仿宋" w:cs="仿宋"/>
          <w:caps w:val="0"/>
          <w:color w:val="000000"/>
          <w:highlight w:val="none"/>
          <w:lang w:val="en-US" w:eastAsia="zh-CN"/>
        </w:rPr>
      </w:pPr>
      <w:r>
        <w:rPr>
          <w:rFonts w:hint="eastAsia" w:ascii="Times New Roman" w:hAnsi="Times New Roman" w:eastAsia="仿宋" w:cs="仿宋"/>
          <w:caps w:val="0"/>
          <w:color w:val="000000"/>
          <w:highlight w:val="none"/>
          <w:lang w:eastAsia="zh-CN"/>
        </w:rPr>
        <w:t>（</w:t>
      </w:r>
      <w:r>
        <w:rPr>
          <w:rFonts w:hint="eastAsia" w:ascii="Times New Roman" w:hAnsi="Times New Roman" w:eastAsia="仿宋" w:cs="仿宋"/>
          <w:caps w:val="0"/>
          <w:color w:val="000000"/>
          <w:highlight w:val="none"/>
          <w:lang w:val="en-US" w:eastAsia="zh-CN"/>
        </w:rPr>
        <w:t>一</w:t>
      </w:r>
      <w:r>
        <w:rPr>
          <w:rFonts w:hint="eastAsia" w:ascii="Times New Roman" w:hAnsi="Times New Roman" w:eastAsia="仿宋" w:cs="仿宋"/>
          <w:caps w:val="0"/>
          <w:color w:val="000000"/>
          <w:highlight w:val="none"/>
          <w:lang w:eastAsia="zh-CN"/>
        </w:rPr>
        <w:t>）</w:t>
      </w:r>
      <w:r>
        <w:rPr>
          <w:rFonts w:hint="eastAsia" w:ascii="Times New Roman" w:hAnsi="Times New Roman" w:eastAsia="仿宋" w:cs="仿宋"/>
          <w:caps w:val="0"/>
          <w:color w:val="000000"/>
          <w:highlight w:val="none"/>
          <w:lang w:val="en-US" w:eastAsia="zh-CN"/>
        </w:rPr>
        <w:t>合同价格</w:t>
      </w:r>
    </w:p>
    <w:p w14:paraId="41A8F1E3">
      <w:pPr>
        <w:keepNext w:val="0"/>
        <w:keepLines w:val="0"/>
        <w:pageBreakBefore w:val="0"/>
        <w:kinsoku/>
        <w:wordWrap/>
        <w:overflowPunct/>
        <w:topLinePunct w:val="0"/>
        <w:bidi w:val="0"/>
        <w:adjustRightInd/>
        <w:snapToGrid/>
        <w:spacing w:line="520" w:lineRule="exact"/>
        <w:ind w:left="0" w:firstLine="480" w:firstLineChars="200"/>
        <w:jc w:val="both"/>
        <w:textAlignment w:val="auto"/>
        <w:rPr>
          <w:rFonts w:hint="eastAsia" w:ascii="Times New Roman" w:hAnsi="Times New Roman" w:eastAsia="仿宋" w:cs="仿宋"/>
          <w:caps w:val="0"/>
          <w:color w:val="000000"/>
          <w:highlight w:val="none"/>
        </w:rPr>
      </w:pPr>
      <w:r>
        <w:rPr>
          <w:rFonts w:hint="eastAsia" w:ascii="Times New Roman" w:hAnsi="Times New Roman" w:eastAsia="仿宋" w:cs="宋体"/>
          <w:snapToGrid w:val="0"/>
          <w:lang w:eastAsia="zh-CN"/>
        </w:rPr>
        <w:t>福维新材料会议室系统建设项目</w:t>
      </w:r>
      <w:r>
        <w:rPr>
          <w:rFonts w:hint="eastAsia" w:ascii="Times New Roman" w:hAnsi="Times New Roman" w:eastAsia="仿宋" w:cs="仿宋"/>
          <w:color w:val="000000"/>
        </w:rPr>
        <w:t>的合同金额（含税） ￥</w:t>
      </w:r>
      <w:r>
        <w:rPr>
          <w:rFonts w:hint="eastAsia" w:ascii="Times New Roman" w:hAnsi="Times New Roman" w:eastAsia="仿宋" w:cs="仿宋"/>
          <w:color w:val="000000"/>
          <w:u w:val="single"/>
        </w:rPr>
        <w:t xml:space="preserve">       </w:t>
      </w:r>
      <w:r>
        <w:rPr>
          <w:rFonts w:hint="eastAsia" w:ascii="Times New Roman" w:hAnsi="Times New Roman" w:eastAsia="仿宋" w:cs="仿宋"/>
          <w:color w:val="000000"/>
        </w:rPr>
        <w:t>元整（大写：人民币</w:t>
      </w:r>
      <w:r>
        <w:rPr>
          <w:rFonts w:hint="eastAsia" w:ascii="Times New Roman" w:hAnsi="Times New Roman" w:eastAsia="仿宋" w:cs="仿宋"/>
          <w:color w:val="000000"/>
          <w:u w:val="single"/>
        </w:rPr>
        <w:t xml:space="preserve">        </w:t>
      </w:r>
      <w:r>
        <w:rPr>
          <w:rFonts w:hint="eastAsia" w:ascii="Times New Roman" w:hAnsi="Times New Roman" w:eastAsia="仿宋" w:cs="仿宋"/>
          <w:color w:val="000000"/>
        </w:rPr>
        <w:t>元整）</w:t>
      </w:r>
      <w:r>
        <w:rPr>
          <w:rFonts w:hint="eastAsia" w:ascii="Times New Roman" w:hAnsi="Times New Roman" w:eastAsia="仿宋" w:cs="仿宋"/>
          <w:color w:val="000000"/>
          <w:lang w:eastAsia="zh-CN"/>
        </w:rPr>
        <w:t>，</w:t>
      </w:r>
      <w:r>
        <w:rPr>
          <w:rFonts w:hint="eastAsia" w:ascii="Times New Roman" w:hAnsi="Times New Roman" w:eastAsia="仿宋" w:cs="仿宋"/>
          <w:caps w:val="0"/>
          <w:color w:val="000000"/>
          <w:highlight w:val="none"/>
        </w:rPr>
        <w:t>甲方无需另行支付增值税或其它种的税额，与本合同有关的税务事项由乙方负责。</w:t>
      </w:r>
    </w:p>
    <w:p w14:paraId="1C966A94">
      <w:pPr>
        <w:keepNext w:val="0"/>
        <w:keepLines w:val="0"/>
        <w:pageBreakBefore w:val="0"/>
        <w:kinsoku/>
        <w:wordWrap/>
        <w:overflowPunct/>
        <w:topLinePunct w:val="0"/>
        <w:bidi w:val="0"/>
        <w:adjustRightInd/>
        <w:snapToGrid/>
        <w:spacing w:line="520" w:lineRule="exact"/>
        <w:ind w:left="0" w:firstLine="480" w:firstLineChars="200"/>
        <w:jc w:val="both"/>
        <w:textAlignment w:val="auto"/>
        <w:rPr>
          <w:rFonts w:hint="eastAsia" w:ascii="Times New Roman" w:hAnsi="Times New Roman" w:eastAsia="仿宋" w:cs="仿宋"/>
          <w:caps w:val="0"/>
          <w:color w:val="000000"/>
          <w:highlight w:val="none"/>
        </w:rPr>
      </w:pPr>
      <w:r>
        <w:rPr>
          <w:rFonts w:hint="eastAsia" w:ascii="Times New Roman" w:hAnsi="Times New Roman" w:eastAsia="仿宋" w:cs="仿宋"/>
          <w:caps w:val="0"/>
          <w:color w:val="000000"/>
          <w:highlight w:val="none"/>
        </w:rPr>
        <w:t>合同履行期间，如遇国家税收政策调整，则本合同未开票部分所对应的不含税金额保持不变，未开票部分的价税合计金额按开票时税率重新计算。该合同总价为含税包干价，包含增值税、乙方服务人员提供服务过程中的交通、差旅及项目建设、初验、终验等发生的一切费用。</w:t>
      </w:r>
    </w:p>
    <w:p w14:paraId="03696F4A">
      <w:pPr>
        <w:keepNext w:val="0"/>
        <w:keepLines w:val="0"/>
        <w:pageBreakBefore w:val="0"/>
        <w:kinsoku/>
        <w:wordWrap/>
        <w:overflowPunct/>
        <w:topLinePunct w:val="0"/>
        <w:bidi w:val="0"/>
        <w:adjustRightInd/>
        <w:snapToGrid/>
        <w:spacing w:line="520" w:lineRule="exact"/>
        <w:ind w:left="0" w:firstLine="480" w:firstLineChars="200"/>
        <w:jc w:val="both"/>
        <w:textAlignment w:val="auto"/>
        <w:rPr>
          <w:rFonts w:hint="default" w:ascii="Times New Roman" w:hAnsi="Times New Roman" w:eastAsia="仿宋"/>
          <w:caps w:val="0"/>
          <w:snapToGrid w:val="0"/>
          <w:highlight w:val="none"/>
          <w:lang w:val="en-US"/>
        </w:rPr>
      </w:pPr>
      <w:r>
        <w:rPr>
          <w:rFonts w:hint="eastAsia" w:ascii="Times New Roman" w:hAnsi="Times New Roman" w:eastAsia="仿宋" w:cs="仿宋"/>
          <w:caps w:val="0"/>
          <w:color w:val="000000"/>
          <w:highlight w:val="none"/>
          <w:lang w:eastAsia="zh-CN"/>
        </w:rPr>
        <w:t>（</w:t>
      </w:r>
      <w:r>
        <w:rPr>
          <w:rFonts w:hint="eastAsia" w:ascii="Times New Roman" w:hAnsi="Times New Roman" w:eastAsia="仿宋" w:cs="仿宋"/>
          <w:caps w:val="0"/>
          <w:color w:val="000000"/>
          <w:highlight w:val="none"/>
          <w:lang w:val="en-US" w:eastAsia="zh-CN"/>
        </w:rPr>
        <w:t>二</w:t>
      </w:r>
      <w:r>
        <w:rPr>
          <w:rFonts w:hint="eastAsia" w:ascii="Times New Roman" w:hAnsi="Times New Roman" w:eastAsia="仿宋" w:cs="仿宋"/>
          <w:caps w:val="0"/>
          <w:color w:val="000000"/>
          <w:highlight w:val="none"/>
          <w:lang w:eastAsia="zh-CN"/>
        </w:rPr>
        <w:t>）</w:t>
      </w:r>
      <w:r>
        <w:rPr>
          <w:rFonts w:hint="eastAsia" w:ascii="Times New Roman" w:hAnsi="Times New Roman" w:eastAsia="仿宋" w:cs="仿宋"/>
          <w:caps w:val="0"/>
          <w:color w:val="000000"/>
          <w:highlight w:val="none"/>
          <w:lang w:val="en-US" w:eastAsia="zh-CN"/>
        </w:rPr>
        <w:t>支付方式</w:t>
      </w:r>
    </w:p>
    <w:p w14:paraId="6D037567">
      <w:pPr>
        <w:spacing w:line="560" w:lineRule="exact"/>
        <w:ind w:firstLine="480" w:firstLineChars="200"/>
        <w:jc w:val="both"/>
        <w:rPr>
          <w:rFonts w:ascii="Times New Roman" w:hAnsi="Times New Roman" w:eastAsia="仿宋" w:cs="仿宋"/>
          <w:color w:val="000000"/>
        </w:rPr>
      </w:pPr>
      <w:r>
        <w:rPr>
          <w:rFonts w:hint="eastAsia" w:ascii="Times New Roman" w:hAnsi="Times New Roman" w:eastAsia="仿宋" w:cs="仿宋"/>
          <w:color w:val="000000"/>
          <w:lang w:val="en-US" w:eastAsia="zh-CN"/>
        </w:rPr>
        <w:t>项目分三次付款，具体如下：</w:t>
      </w:r>
    </w:p>
    <w:p w14:paraId="031695EF">
      <w:pPr>
        <w:autoSpaceDE w:val="0"/>
        <w:autoSpaceDN w:val="0"/>
        <w:spacing w:line="560" w:lineRule="exact"/>
        <w:ind w:firstLine="480" w:firstLineChars="200"/>
        <w:jc w:val="both"/>
        <w:rPr>
          <w:rFonts w:hint="eastAsia" w:ascii="Times New Roman" w:hAnsi="Times New Roman" w:eastAsia="仿宋"/>
          <w:snapToGrid w:val="0"/>
        </w:rPr>
      </w:pPr>
      <w:r>
        <w:rPr>
          <w:rFonts w:hint="eastAsia" w:ascii="Times New Roman" w:hAnsi="Times New Roman" w:eastAsia="仿宋"/>
          <w:snapToGrid w:val="0"/>
        </w:rPr>
        <w:t>第一笔付款：完成设备供货后，乙方提供支付合同总金额的35%的增值税专用发票（设备税率13%，系统集成税率6%），甲方于15个工作日内向中选人支付合同首款，即人民币       元整（¥       元）。</w:t>
      </w:r>
    </w:p>
    <w:p w14:paraId="18A02E3F">
      <w:pPr>
        <w:autoSpaceDE w:val="0"/>
        <w:autoSpaceDN w:val="0"/>
        <w:spacing w:line="560" w:lineRule="exact"/>
        <w:ind w:firstLine="480" w:firstLineChars="200"/>
        <w:jc w:val="both"/>
        <w:rPr>
          <w:rFonts w:hint="eastAsia" w:ascii="Times New Roman" w:hAnsi="Times New Roman" w:eastAsia="仿宋"/>
          <w:snapToGrid w:val="0"/>
        </w:rPr>
      </w:pPr>
      <w:r>
        <w:rPr>
          <w:rFonts w:hint="eastAsia" w:ascii="Times New Roman" w:hAnsi="Times New Roman" w:eastAsia="仿宋"/>
          <w:snapToGrid w:val="0"/>
        </w:rPr>
        <w:t>第二笔付款：完成设备安装、施工、调试，试运行满1个月，乙方提供支付合同总金额的60%的增值税专用发票（设备税率13%，系统集成税率6%），甲方于15个工作日内向中选人支付合同</w:t>
      </w:r>
      <w:r>
        <w:rPr>
          <w:rFonts w:hint="eastAsia" w:ascii="Times New Roman" w:hAnsi="Times New Roman" w:eastAsia="仿宋"/>
          <w:snapToGrid w:val="0"/>
          <w:lang w:val="en-US" w:eastAsia="zh-CN"/>
        </w:rPr>
        <w:t>验收款</w:t>
      </w:r>
      <w:r>
        <w:rPr>
          <w:rFonts w:hint="eastAsia" w:ascii="Times New Roman" w:hAnsi="Times New Roman" w:eastAsia="仿宋"/>
          <w:snapToGrid w:val="0"/>
        </w:rPr>
        <w:t>，即人民币       元整（¥       元）。</w:t>
      </w:r>
    </w:p>
    <w:p w14:paraId="3BA22DC6">
      <w:pPr>
        <w:autoSpaceDE w:val="0"/>
        <w:autoSpaceDN w:val="0"/>
        <w:spacing w:line="560" w:lineRule="exact"/>
        <w:ind w:firstLine="480" w:firstLineChars="200"/>
        <w:jc w:val="both"/>
        <w:rPr>
          <w:rFonts w:hint="eastAsia" w:ascii="Times New Roman" w:hAnsi="Times New Roman" w:eastAsia="仿宋"/>
          <w:snapToGrid w:val="0"/>
        </w:rPr>
      </w:pPr>
      <w:r>
        <w:rPr>
          <w:rFonts w:hint="eastAsia" w:ascii="Times New Roman" w:hAnsi="Times New Roman" w:eastAsia="仿宋"/>
          <w:snapToGrid w:val="0"/>
        </w:rPr>
        <w:t>第三笔付款：质保期内，乙方履行所有售后义务，且</w:t>
      </w:r>
      <w:r>
        <w:rPr>
          <w:rFonts w:hint="eastAsia" w:ascii="Times New Roman" w:hAnsi="Times New Roman" w:eastAsia="仿宋"/>
          <w:snapToGrid w:val="0"/>
          <w:lang w:val="en-US" w:eastAsia="zh-CN"/>
        </w:rPr>
        <w:t>1</w:t>
      </w:r>
      <w:r>
        <w:rPr>
          <w:rFonts w:hint="eastAsia" w:ascii="Times New Roman" w:hAnsi="Times New Roman" w:eastAsia="仿宋"/>
          <w:snapToGrid w:val="0"/>
        </w:rPr>
        <w:t>年质保期满后，收到乙方开具相应增值税专用发票（设备税率13%，系统集成税率6%）之日起15个工作日内，甲方将本合同约定的费用总价</w:t>
      </w:r>
      <w:r>
        <w:rPr>
          <w:rFonts w:hint="eastAsia" w:ascii="Times New Roman" w:hAnsi="Times New Roman" w:eastAsia="仿宋"/>
          <w:snapToGrid w:val="0"/>
          <w:lang w:val="en-US" w:eastAsia="zh-CN"/>
        </w:rPr>
        <w:t>5</w:t>
      </w:r>
      <w:r>
        <w:rPr>
          <w:rFonts w:hint="eastAsia" w:ascii="Times New Roman" w:hAnsi="Times New Roman" w:eastAsia="仿宋"/>
          <w:snapToGrid w:val="0"/>
        </w:rPr>
        <w:t>%的款项支付给乙方。</w:t>
      </w:r>
    </w:p>
    <w:p w14:paraId="6D6A06B4">
      <w:pPr>
        <w:pStyle w:val="4"/>
        <w:keepNext w:val="0"/>
        <w:keepLines w:val="0"/>
        <w:pageBreakBefore w:val="0"/>
        <w:widowControl/>
        <w:kinsoku/>
        <w:wordWrap/>
        <w:overflowPunct/>
        <w:topLinePunct w:val="0"/>
        <w:autoSpaceDE/>
        <w:autoSpaceDN/>
        <w:bidi w:val="0"/>
        <w:adjustRightInd/>
        <w:snapToGrid/>
        <w:spacing w:line="520" w:lineRule="exact"/>
        <w:ind w:left="0" w:firstLine="480" w:firstLineChars="200"/>
        <w:textAlignment w:val="auto"/>
        <w:rPr>
          <w:rFonts w:hint="default" w:ascii="Times New Roman" w:hAnsi="Times New Roman" w:eastAsia="仿宋" w:cs="仿宋"/>
          <w:b w:val="0"/>
          <w:bCs/>
          <w:caps w:val="0"/>
          <w:color w:val="000000"/>
          <w:highlight w:val="none"/>
          <w:u w:val="none"/>
          <w:lang w:val="en-US" w:eastAsia="zh-CN"/>
        </w:rPr>
      </w:pPr>
      <w:r>
        <w:rPr>
          <w:rFonts w:hint="eastAsia" w:ascii="Times New Roman" w:hAnsi="Times New Roman" w:eastAsia="仿宋" w:cs="仿宋"/>
          <w:b w:val="0"/>
          <w:bCs/>
          <w:caps w:val="0"/>
          <w:color w:val="000000"/>
          <w:highlight w:val="none"/>
          <w:u w:val="none"/>
          <w:lang w:eastAsia="zh-CN"/>
        </w:rPr>
        <w:t>（</w:t>
      </w:r>
      <w:r>
        <w:rPr>
          <w:rFonts w:hint="eastAsia" w:ascii="Times New Roman" w:hAnsi="Times New Roman" w:eastAsia="仿宋" w:cs="仿宋"/>
          <w:b w:val="0"/>
          <w:bCs/>
          <w:caps w:val="0"/>
          <w:color w:val="000000"/>
          <w:highlight w:val="none"/>
          <w:u w:val="none"/>
          <w:lang w:val="en-US" w:eastAsia="zh-CN"/>
        </w:rPr>
        <w:t>三</w:t>
      </w:r>
      <w:r>
        <w:rPr>
          <w:rFonts w:hint="eastAsia" w:ascii="Times New Roman" w:hAnsi="Times New Roman" w:eastAsia="仿宋" w:cs="仿宋"/>
          <w:b w:val="0"/>
          <w:bCs/>
          <w:caps w:val="0"/>
          <w:color w:val="000000"/>
          <w:highlight w:val="none"/>
          <w:u w:val="none"/>
          <w:lang w:eastAsia="zh-CN"/>
        </w:rPr>
        <w:t>）</w:t>
      </w:r>
      <w:r>
        <w:rPr>
          <w:rFonts w:hint="eastAsia" w:ascii="Times New Roman" w:hAnsi="Times New Roman" w:eastAsia="仿宋" w:cs="仿宋"/>
          <w:b w:val="0"/>
          <w:bCs/>
          <w:caps w:val="0"/>
          <w:color w:val="000000"/>
          <w:highlight w:val="none"/>
          <w:u w:val="none"/>
          <w:lang w:val="en-US" w:eastAsia="zh-CN"/>
        </w:rPr>
        <w:t>乙方账户信息</w:t>
      </w:r>
    </w:p>
    <w:p w14:paraId="626230F6">
      <w:pPr>
        <w:pStyle w:val="4"/>
        <w:keepNext w:val="0"/>
        <w:keepLines w:val="0"/>
        <w:pageBreakBefore w:val="0"/>
        <w:widowControl/>
        <w:kinsoku/>
        <w:wordWrap/>
        <w:overflowPunct/>
        <w:topLinePunct w:val="0"/>
        <w:autoSpaceDE/>
        <w:autoSpaceDN/>
        <w:bidi w:val="0"/>
        <w:adjustRightInd/>
        <w:snapToGrid/>
        <w:spacing w:line="520" w:lineRule="exact"/>
        <w:ind w:left="0" w:firstLine="480" w:firstLineChars="200"/>
        <w:textAlignment w:val="auto"/>
        <w:rPr>
          <w:rFonts w:hint="eastAsia" w:ascii="Times New Roman" w:hAnsi="Times New Roman" w:eastAsia="仿宋" w:cs="仿宋"/>
          <w:b w:val="0"/>
          <w:bCs/>
          <w:caps w:val="0"/>
          <w:color w:val="000000"/>
          <w:highlight w:val="none"/>
          <w:u w:val="none"/>
          <w:lang w:val="en-US" w:eastAsia="zh-CN"/>
        </w:rPr>
      </w:pPr>
      <w:r>
        <w:rPr>
          <w:rFonts w:hint="eastAsia" w:ascii="Times New Roman" w:hAnsi="Times New Roman" w:eastAsia="仿宋" w:cs="仿宋"/>
          <w:b w:val="0"/>
          <w:bCs/>
          <w:caps w:val="0"/>
          <w:color w:val="000000"/>
          <w:highlight w:val="none"/>
          <w:u w:val="none"/>
          <w:lang w:val="en-US" w:eastAsia="zh-CN"/>
        </w:rPr>
        <w:t>户名：</w:t>
      </w:r>
    </w:p>
    <w:p w14:paraId="1D34892D">
      <w:pPr>
        <w:pStyle w:val="4"/>
        <w:keepNext w:val="0"/>
        <w:keepLines w:val="0"/>
        <w:pageBreakBefore w:val="0"/>
        <w:widowControl/>
        <w:kinsoku/>
        <w:wordWrap/>
        <w:overflowPunct/>
        <w:topLinePunct w:val="0"/>
        <w:autoSpaceDE/>
        <w:autoSpaceDN/>
        <w:bidi w:val="0"/>
        <w:adjustRightInd/>
        <w:snapToGrid/>
        <w:spacing w:line="520" w:lineRule="exact"/>
        <w:ind w:left="0" w:firstLine="480" w:firstLineChars="200"/>
        <w:textAlignment w:val="auto"/>
        <w:rPr>
          <w:rFonts w:hint="eastAsia" w:ascii="Times New Roman" w:hAnsi="Times New Roman" w:eastAsia="仿宋" w:cs="仿宋"/>
          <w:b w:val="0"/>
          <w:bCs/>
          <w:caps w:val="0"/>
          <w:color w:val="000000"/>
          <w:highlight w:val="none"/>
          <w:u w:val="none"/>
          <w:lang w:val="en-US" w:eastAsia="zh-CN"/>
        </w:rPr>
      </w:pPr>
      <w:r>
        <w:rPr>
          <w:rFonts w:hint="eastAsia" w:ascii="Times New Roman" w:hAnsi="Times New Roman" w:eastAsia="仿宋" w:cs="仿宋"/>
          <w:b w:val="0"/>
          <w:bCs/>
          <w:caps w:val="0"/>
          <w:color w:val="000000"/>
          <w:highlight w:val="none"/>
          <w:u w:val="none"/>
          <w:lang w:val="en-US" w:eastAsia="zh-CN"/>
        </w:rPr>
        <w:t>开户银行：</w:t>
      </w:r>
    </w:p>
    <w:p w14:paraId="2330E5E3">
      <w:pPr>
        <w:pStyle w:val="4"/>
        <w:keepNext w:val="0"/>
        <w:keepLines w:val="0"/>
        <w:pageBreakBefore w:val="0"/>
        <w:widowControl/>
        <w:kinsoku/>
        <w:wordWrap/>
        <w:overflowPunct/>
        <w:topLinePunct w:val="0"/>
        <w:autoSpaceDE/>
        <w:autoSpaceDN/>
        <w:bidi w:val="0"/>
        <w:adjustRightInd/>
        <w:snapToGrid/>
        <w:spacing w:line="520" w:lineRule="exact"/>
        <w:ind w:left="0" w:firstLine="480" w:firstLineChars="200"/>
        <w:textAlignment w:val="auto"/>
        <w:rPr>
          <w:rFonts w:hint="eastAsia" w:ascii="Times New Roman" w:hAnsi="Times New Roman" w:eastAsia="仿宋" w:cs="仿宋"/>
          <w:b w:val="0"/>
          <w:bCs/>
          <w:caps w:val="0"/>
          <w:color w:val="000000"/>
          <w:highlight w:val="none"/>
          <w:u w:val="none"/>
          <w:lang w:val="en-US" w:eastAsia="zh-CN"/>
        </w:rPr>
      </w:pPr>
      <w:r>
        <w:rPr>
          <w:rFonts w:hint="eastAsia" w:ascii="Times New Roman" w:hAnsi="Times New Roman" w:eastAsia="仿宋" w:cs="仿宋"/>
          <w:b w:val="0"/>
          <w:bCs/>
          <w:caps w:val="0"/>
          <w:color w:val="000000"/>
          <w:highlight w:val="none"/>
          <w:u w:val="none"/>
          <w:lang w:val="en-US" w:eastAsia="zh-CN"/>
        </w:rPr>
        <w:t>账号：</w:t>
      </w:r>
    </w:p>
    <w:p w14:paraId="3E324DDC">
      <w:pPr>
        <w:keepNext w:val="0"/>
        <w:keepLines w:val="0"/>
        <w:pageBreakBefore w:val="0"/>
        <w:kinsoku/>
        <w:wordWrap/>
        <w:overflowPunct/>
        <w:topLinePunct w:val="0"/>
        <w:bidi w:val="0"/>
        <w:adjustRightInd/>
        <w:snapToGrid/>
        <w:spacing w:line="520" w:lineRule="exact"/>
        <w:ind w:left="0" w:firstLine="480" w:firstLineChars="200"/>
        <w:textAlignment w:val="auto"/>
        <w:rPr>
          <w:rFonts w:hint="eastAsia" w:ascii="Times New Roman" w:hAnsi="Times New Roman"/>
          <w:caps w:val="0"/>
          <w:lang w:val="en-US" w:eastAsia="zh-CN"/>
        </w:rPr>
      </w:pPr>
      <w:r>
        <w:rPr>
          <w:rFonts w:hint="eastAsia" w:ascii="Times New Roman" w:hAnsi="Times New Roman" w:eastAsia="仿宋" w:cs="仿宋"/>
          <w:caps w:val="0"/>
          <w:color w:val="000000"/>
          <w:highlight w:val="none"/>
          <w:lang w:eastAsia="zh-CN"/>
        </w:rPr>
        <w:t>（</w:t>
      </w:r>
      <w:r>
        <w:rPr>
          <w:rFonts w:hint="eastAsia" w:ascii="Times New Roman" w:hAnsi="Times New Roman" w:eastAsia="仿宋" w:cs="仿宋"/>
          <w:caps w:val="0"/>
          <w:color w:val="000000"/>
          <w:highlight w:val="none"/>
          <w:lang w:val="en-US" w:eastAsia="zh-CN"/>
        </w:rPr>
        <w:t>四</w:t>
      </w:r>
      <w:r>
        <w:rPr>
          <w:rFonts w:hint="eastAsia" w:ascii="Times New Roman" w:hAnsi="Times New Roman" w:eastAsia="仿宋" w:cs="仿宋"/>
          <w:caps w:val="0"/>
          <w:color w:val="000000"/>
          <w:highlight w:val="none"/>
          <w:lang w:eastAsia="zh-CN"/>
        </w:rPr>
        <w:t>）</w:t>
      </w:r>
      <w:r>
        <w:rPr>
          <w:rFonts w:hint="eastAsia" w:ascii="Times New Roman" w:hAnsi="Times New Roman" w:eastAsia="仿宋" w:cs="仿宋"/>
          <w:caps w:val="0"/>
          <w:color w:val="000000"/>
          <w:highlight w:val="none"/>
          <w:lang w:val="en-US" w:eastAsia="zh-CN"/>
        </w:rPr>
        <w:t>甲方开票信息</w:t>
      </w:r>
    </w:p>
    <w:p w14:paraId="25588766">
      <w:pPr>
        <w:keepNext w:val="0"/>
        <w:keepLines w:val="0"/>
        <w:pageBreakBefore w:val="0"/>
        <w:widowControl/>
        <w:kinsoku/>
        <w:wordWrap/>
        <w:overflowPunct/>
        <w:topLinePunct w:val="0"/>
        <w:autoSpaceDE/>
        <w:autoSpaceDN/>
        <w:bidi w:val="0"/>
        <w:adjustRightInd/>
        <w:snapToGrid/>
        <w:spacing w:line="520" w:lineRule="exact"/>
        <w:ind w:left="0" w:firstLine="480" w:firstLineChars="200"/>
        <w:textAlignment w:val="auto"/>
        <w:rPr>
          <w:rFonts w:hint="eastAsia" w:ascii="Times New Roman" w:hAnsi="Times New Roman" w:eastAsia="仿宋" w:cs="仿宋"/>
          <w:caps w:val="0"/>
          <w:lang w:val="en-US" w:eastAsia="zh-CN"/>
        </w:rPr>
      </w:pPr>
      <w:r>
        <w:rPr>
          <w:rFonts w:hint="eastAsia" w:ascii="Times New Roman" w:hAnsi="Times New Roman" w:eastAsia="仿宋" w:cs="仿宋"/>
          <w:caps w:val="0"/>
          <w:lang w:val="en-US" w:eastAsia="zh-CN"/>
        </w:rPr>
        <w:t>单位名称：</w:t>
      </w:r>
      <w:r>
        <w:rPr>
          <w:rFonts w:hint="eastAsia" w:ascii="Times New Roman" w:hAnsi="Times New Roman" w:eastAsia="仿宋" w:cs="仿宋"/>
          <w:caps w:val="0"/>
          <w:color w:val="000000"/>
          <w:highlight w:val="none"/>
        </w:rPr>
        <w:t>福建省能源石化信息科技有限责任公司</w:t>
      </w:r>
    </w:p>
    <w:p w14:paraId="69191853">
      <w:pPr>
        <w:keepNext w:val="0"/>
        <w:keepLines w:val="0"/>
        <w:pageBreakBefore w:val="0"/>
        <w:widowControl/>
        <w:kinsoku/>
        <w:wordWrap/>
        <w:overflowPunct/>
        <w:topLinePunct w:val="0"/>
        <w:autoSpaceDE/>
        <w:autoSpaceDN/>
        <w:bidi w:val="0"/>
        <w:adjustRightInd/>
        <w:snapToGrid/>
        <w:spacing w:line="520" w:lineRule="exact"/>
        <w:ind w:left="0" w:firstLine="480" w:firstLineChars="200"/>
        <w:textAlignment w:val="auto"/>
        <w:rPr>
          <w:rFonts w:hint="eastAsia" w:ascii="Times New Roman" w:hAnsi="Times New Roman" w:eastAsia="仿宋" w:cs="仿宋"/>
          <w:caps w:val="0"/>
          <w:lang w:val="en-US" w:eastAsia="zh-CN"/>
        </w:rPr>
      </w:pPr>
      <w:r>
        <w:rPr>
          <w:rFonts w:hint="eastAsia" w:ascii="Times New Roman" w:hAnsi="Times New Roman" w:eastAsia="仿宋" w:cs="仿宋"/>
          <w:caps w:val="0"/>
          <w:lang w:val="en-US" w:eastAsia="zh-CN"/>
        </w:rPr>
        <w:t>纳税人识别号：91350102MAD8E16PXX</w:t>
      </w:r>
    </w:p>
    <w:p w14:paraId="1895A4D7">
      <w:pPr>
        <w:keepNext w:val="0"/>
        <w:keepLines w:val="0"/>
        <w:pageBreakBefore w:val="0"/>
        <w:widowControl/>
        <w:kinsoku/>
        <w:wordWrap/>
        <w:overflowPunct/>
        <w:topLinePunct w:val="0"/>
        <w:autoSpaceDE/>
        <w:autoSpaceDN/>
        <w:bidi w:val="0"/>
        <w:adjustRightInd/>
        <w:snapToGrid/>
        <w:spacing w:line="520" w:lineRule="exact"/>
        <w:ind w:left="0" w:firstLine="480" w:firstLineChars="200"/>
        <w:textAlignment w:val="auto"/>
        <w:rPr>
          <w:rFonts w:hint="eastAsia" w:ascii="Times New Roman" w:hAnsi="Times New Roman" w:eastAsia="仿宋" w:cs="仿宋"/>
          <w:caps w:val="0"/>
          <w:lang w:val="en-US" w:eastAsia="zh-CN"/>
        </w:rPr>
      </w:pPr>
      <w:r>
        <w:rPr>
          <w:rFonts w:hint="eastAsia" w:ascii="Times New Roman" w:hAnsi="Times New Roman" w:eastAsia="仿宋" w:cs="仿宋"/>
          <w:caps w:val="0"/>
          <w:lang w:val="en-US" w:eastAsia="zh-CN"/>
        </w:rPr>
        <w:t>地址：福建省福州市晋安区塔头路396号能源石化大厦15楼</w:t>
      </w:r>
    </w:p>
    <w:p w14:paraId="0CBFCB0E">
      <w:pPr>
        <w:keepNext w:val="0"/>
        <w:keepLines w:val="0"/>
        <w:pageBreakBefore w:val="0"/>
        <w:widowControl/>
        <w:kinsoku/>
        <w:wordWrap/>
        <w:overflowPunct/>
        <w:topLinePunct w:val="0"/>
        <w:autoSpaceDE/>
        <w:autoSpaceDN/>
        <w:bidi w:val="0"/>
        <w:adjustRightInd/>
        <w:snapToGrid/>
        <w:spacing w:line="520" w:lineRule="exact"/>
        <w:ind w:left="0" w:firstLine="480" w:firstLineChars="200"/>
        <w:textAlignment w:val="auto"/>
        <w:rPr>
          <w:rFonts w:hint="eastAsia" w:ascii="Times New Roman" w:hAnsi="Times New Roman" w:eastAsia="仿宋" w:cs="仿宋"/>
          <w:caps w:val="0"/>
          <w:lang w:val="en-US" w:eastAsia="zh-CN"/>
        </w:rPr>
      </w:pPr>
      <w:r>
        <w:rPr>
          <w:rFonts w:hint="eastAsia" w:ascii="Times New Roman" w:hAnsi="Times New Roman" w:eastAsia="仿宋" w:cs="仿宋"/>
          <w:caps w:val="0"/>
          <w:lang w:val="en-US" w:eastAsia="zh-CN"/>
        </w:rPr>
        <w:t>开户行：中国工商银行股份有限公司福州鼓楼支行</w:t>
      </w:r>
    </w:p>
    <w:p w14:paraId="3B3AF448">
      <w:pPr>
        <w:keepNext w:val="0"/>
        <w:keepLines w:val="0"/>
        <w:pageBreakBefore w:val="0"/>
        <w:widowControl/>
        <w:kinsoku/>
        <w:wordWrap/>
        <w:overflowPunct/>
        <w:topLinePunct w:val="0"/>
        <w:autoSpaceDE/>
        <w:autoSpaceDN/>
        <w:bidi w:val="0"/>
        <w:adjustRightInd/>
        <w:snapToGrid/>
        <w:spacing w:line="520" w:lineRule="exact"/>
        <w:ind w:left="0" w:firstLine="480" w:firstLineChars="200"/>
        <w:textAlignment w:val="auto"/>
        <w:rPr>
          <w:rFonts w:hint="eastAsia" w:ascii="Times New Roman" w:hAnsi="Times New Roman" w:eastAsia="仿宋" w:cs="仿宋"/>
          <w:caps w:val="0"/>
          <w:lang w:val="en-US" w:eastAsia="zh-CN"/>
        </w:rPr>
      </w:pPr>
      <w:r>
        <w:rPr>
          <w:rFonts w:hint="eastAsia" w:ascii="Times New Roman" w:hAnsi="Times New Roman" w:eastAsia="仿宋" w:cs="仿宋"/>
          <w:caps w:val="0"/>
          <w:lang w:val="en-US" w:eastAsia="zh-CN"/>
        </w:rPr>
        <w:t>账号：1402023209600463636</w:t>
      </w:r>
    </w:p>
    <w:p w14:paraId="3829004E">
      <w:pPr>
        <w:keepNext w:val="0"/>
        <w:keepLines w:val="0"/>
        <w:pageBreakBefore w:val="0"/>
        <w:numPr>
          <w:ilvl w:val="0"/>
          <w:numId w:val="17"/>
        </w:numPr>
        <w:kinsoku/>
        <w:wordWrap/>
        <w:overflowPunct/>
        <w:topLinePunct w:val="0"/>
        <w:bidi w:val="0"/>
        <w:adjustRightInd/>
        <w:snapToGrid/>
        <w:spacing w:line="520" w:lineRule="exact"/>
        <w:ind w:left="-2" w:leftChars="0" w:firstLine="482" w:firstLineChars="0"/>
        <w:textAlignment w:val="auto"/>
        <w:rPr>
          <w:rFonts w:hint="eastAsia" w:ascii="Times New Roman" w:hAnsi="Times New Roman" w:eastAsia="仿宋" w:cs="仿宋"/>
          <w:b/>
          <w:bCs/>
          <w:color w:val="000000"/>
          <w:sz w:val="24"/>
          <w:szCs w:val="24"/>
          <w:highlight w:val="none"/>
        </w:rPr>
      </w:pPr>
      <w:bookmarkStart w:id="355" w:name="_Toc2295"/>
      <w:r>
        <w:rPr>
          <w:rFonts w:hint="eastAsia" w:ascii="Times New Roman" w:hAnsi="Times New Roman" w:eastAsia="仿宋" w:cs="仿宋"/>
          <w:b/>
          <w:bCs/>
          <w:color w:val="000000"/>
          <w:sz w:val="24"/>
          <w:szCs w:val="24"/>
          <w:highlight w:val="none"/>
        </w:rPr>
        <w:t>交付与验收</w:t>
      </w:r>
      <w:bookmarkEnd w:id="355"/>
    </w:p>
    <w:p w14:paraId="202782ED">
      <w:pPr>
        <w:keepNext w:val="0"/>
        <w:keepLines w:val="0"/>
        <w:pageBreakBefore w:val="0"/>
        <w:kinsoku/>
        <w:wordWrap/>
        <w:overflowPunct/>
        <w:topLinePunct w:val="0"/>
        <w:bidi w:val="0"/>
        <w:adjustRightInd/>
        <w:snapToGrid/>
        <w:spacing w:line="520" w:lineRule="exact"/>
        <w:ind w:left="0" w:firstLine="480" w:firstLineChars="200"/>
        <w:textAlignment w:val="auto"/>
        <w:rPr>
          <w:rFonts w:hint="eastAsia" w:ascii="Times New Roman" w:hAnsi="Times New Roman" w:eastAsia="仿宋" w:cs="仿宋"/>
          <w:color w:val="000000"/>
          <w:sz w:val="24"/>
          <w:szCs w:val="24"/>
          <w:highlight w:val="none"/>
        </w:rPr>
      </w:pPr>
      <w:bookmarkStart w:id="356" w:name="_Toc20408"/>
      <w:r>
        <w:rPr>
          <w:rFonts w:hint="eastAsia" w:ascii="Times New Roman" w:hAnsi="Times New Roman" w:eastAsia="仿宋" w:cs="仿宋"/>
          <w:color w:val="000000"/>
          <w:sz w:val="24"/>
          <w:szCs w:val="24"/>
          <w:highlight w:val="none"/>
          <w:lang w:eastAsia="zh-CN"/>
        </w:rPr>
        <w:t>（</w:t>
      </w:r>
      <w:r>
        <w:rPr>
          <w:rFonts w:hint="eastAsia" w:ascii="Times New Roman" w:hAnsi="Times New Roman" w:eastAsia="仿宋" w:cs="仿宋"/>
          <w:color w:val="000000"/>
          <w:sz w:val="24"/>
          <w:szCs w:val="24"/>
          <w:highlight w:val="none"/>
          <w:lang w:val="en-US" w:eastAsia="zh-CN"/>
        </w:rPr>
        <w:t>一</w:t>
      </w:r>
      <w:r>
        <w:rPr>
          <w:rFonts w:hint="eastAsia" w:ascii="Times New Roman" w:hAnsi="Times New Roman" w:eastAsia="仿宋" w:cs="仿宋"/>
          <w:color w:val="000000"/>
          <w:sz w:val="24"/>
          <w:szCs w:val="24"/>
          <w:highlight w:val="none"/>
          <w:lang w:eastAsia="zh-CN"/>
        </w:rPr>
        <w:t>）</w:t>
      </w:r>
      <w:r>
        <w:rPr>
          <w:rFonts w:hint="eastAsia" w:ascii="Times New Roman" w:hAnsi="Times New Roman" w:eastAsia="仿宋" w:cs="仿宋"/>
          <w:color w:val="000000"/>
          <w:sz w:val="24"/>
          <w:szCs w:val="24"/>
          <w:highlight w:val="none"/>
        </w:rPr>
        <w:t>验收标准</w:t>
      </w:r>
      <w:bookmarkEnd w:id="356"/>
    </w:p>
    <w:p w14:paraId="0E1B1505">
      <w:pPr>
        <w:keepNext w:val="0"/>
        <w:keepLines w:val="0"/>
        <w:pageBreakBefore w:val="0"/>
        <w:kinsoku/>
        <w:wordWrap/>
        <w:overflowPunct/>
        <w:topLinePunct w:val="0"/>
        <w:bidi w:val="0"/>
        <w:adjustRightInd/>
        <w:snapToGrid/>
        <w:spacing w:line="520" w:lineRule="exact"/>
        <w:ind w:left="0" w:firstLine="480" w:firstLineChars="200"/>
        <w:textAlignment w:val="auto"/>
        <w:rPr>
          <w:rFonts w:hint="eastAsia"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乙方所提供的与本项目有关的产品必须符合国家标准、地方标准、行业标准，以及有关技术规范和产品厂家的出厂标准，提供原厂合格证等有关文件资料，并保证产品是全新、合格的原厂原装产品。同时，产品按甲方验收标准(符合国家或行业或地方标准)、</w:t>
      </w:r>
      <w:r>
        <w:rPr>
          <w:rFonts w:hint="eastAsia" w:ascii="Times New Roman" w:hAnsi="Times New Roman" w:eastAsia="仿宋" w:cs="仿宋"/>
          <w:color w:val="000000"/>
          <w:sz w:val="24"/>
          <w:szCs w:val="24"/>
          <w:highlight w:val="none"/>
          <w:lang w:val="en-US" w:eastAsia="zh-CN"/>
        </w:rPr>
        <w:t>比选</w:t>
      </w:r>
      <w:r>
        <w:rPr>
          <w:rFonts w:hint="eastAsia" w:ascii="Times New Roman" w:hAnsi="Times New Roman" w:eastAsia="仿宋" w:cs="仿宋"/>
          <w:color w:val="000000"/>
          <w:sz w:val="24"/>
          <w:szCs w:val="24"/>
          <w:highlight w:val="none"/>
        </w:rPr>
        <w:t>文件</w:t>
      </w:r>
      <w:r>
        <w:rPr>
          <w:rFonts w:hint="eastAsia" w:ascii="Times New Roman" w:hAnsi="Times New Roman" w:eastAsia="仿宋" w:cs="仿宋"/>
          <w:color w:val="000000"/>
          <w:sz w:val="24"/>
          <w:szCs w:val="24"/>
          <w:highlight w:val="none"/>
          <w:lang w:eastAsia="zh-CN"/>
        </w:rPr>
        <w:t>（</w:t>
      </w:r>
      <w:r>
        <w:rPr>
          <w:rFonts w:hint="eastAsia" w:ascii="Times New Roman" w:hAnsi="Times New Roman" w:eastAsia="仿宋" w:cs="仿宋"/>
          <w:color w:val="000000"/>
          <w:sz w:val="24"/>
          <w:szCs w:val="24"/>
          <w:highlight w:val="none"/>
          <w:lang w:val="en-US" w:eastAsia="zh-CN"/>
        </w:rPr>
        <w:t>若有</w:t>
      </w:r>
      <w:r>
        <w:rPr>
          <w:rFonts w:hint="eastAsia" w:ascii="Times New Roman" w:hAnsi="Times New Roman" w:eastAsia="仿宋" w:cs="仿宋"/>
          <w:color w:val="000000"/>
          <w:sz w:val="24"/>
          <w:szCs w:val="24"/>
          <w:highlight w:val="none"/>
          <w:lang w:eastAsia="zh-CN"/>
        </w:rPr>
        <w:t>）</w:t>
      </w:r>
      <w:r>
        <w:rPr>
          <w:rFonts w:hint="eastAsia" w:ascii="Times New Roman" w:hAnsi="Times New Roman" w:eastAsia="仿宋" w:cs="仿宋"/>
          <w:color w:val="000000"/>
          <w:sz w:val="24"/>
          <w:szCs w:val="24"/>
          <w:highlight w:val="none"/>
        </w:rPr>
        <w:t>、</w:t>
      </w:r>
      <w:r>
        <w:rPr>
          <w:rFonts w:hint="eastAsia" w:ascii="Times New Roman" w:hAnsi="Times New Roman" w:eastAsia="仿宋" w:cs="仿宋"/>
          <w:color w:val="000000"/>
          <w:sz w:val="24"/>
          <w:szCs w:val="24"/>
          <w:highlight w:val="none"/>
          <w:lang w:val="en-US" w:eastAsia="zh-CN"/>
        </w:rPr>
        <w:t>参选</w:t>
      </w:r>
      <w:r>
        <w:rPr>
          <w:rFonts w:hint="eastAsia" w:ascii="Times New Roman" w:hAnsi="Times New Roman" w:eastAsia="仿宋" w:cs="仿宋"/>
          <w:color w:val="000000"/>
          <w:sz w:val="24"/>
          <w:szCs w:val="24"/>
          <w:highlight w:val="none"/>
        </w:rPr>
        <w:t>文件</w:t>
      </w:r>
      <w:r>
        <w:rPr>
          <w:rFonts w:hint="eastAsia" w:ascii="Times New Roman" w:hAnsi="Times New Roman" w:eastAsia="仿宋" w:cs="仿宋"/>
          <w:color w:val="000000"/>
          <w:sz w:val="24"/>
          <w:szCs w:val="24"/>
          <w:highlight w:val="none"/>
          <w:lang w:eastAsia="zh-CN"/>
        </w:rPr>
        <w:t>（</w:t>
      </w:r>
      <w:r>
        <w:rPr>
          <w:rFonts w:hint="eastAsia" w:ascii="Times New Roman" w:hAnsi="Times New Roman" w:eastAsia="仿宋" w:cs="仿宋"/>
          <w:color w:val="000000"/>
          <w:sz w:val="24"/>
          <w:szCs w:val="24"/>
          <w:highlight w:val="none"/>
          <w:lang w:val="en-US" w:eastAsia="zh-CN"/>
        </w:rPr>
        <w:t>若有</w:t>
      </w:r>
      <w:r>
        <w:rPr>
          <w:rFonts w:hint="eastAsia" w:ascii="Times New Roman" w:hAnsi="Times New Roman" w:eastAsia="仿宋" w:cs="仿宋"/>
          <w:color w:val="000000"/>
          <w:sz w:val="24"/>
          <w:szCs w:val="24"/>
          <w:highlight w:val="none"/>
          <w:lang w:eastAsia="zh-CN"/>
        </w:rPr>
        <w:t>）</w:t>
      </w:r>
      <w:r>
        <w:rPr>
          <w:rFonts w:hint="eastAsia" w:ascii="Times New Roman" w:hAnsi="Times New Roman" w:eastAsia="仿宋" w:cs="仿宋"/>
          <w:color w:val="000000"/>
          <w:sz w:val="24"/>
          <w:szCs w:val="24"/>
          <w:highlight w:val="none"/>
        </w:rPr>
        <w:t>、合同文件等有关内容进行验收，若</w:t>
      </w:r>
      <w:r>
        <w:rPr>
          <w:rFonts w:hint="eastAsia" w:ascii="Times New Roman" w:hAnsi="Times New Roman" w:eastAsia="仿宋" w:cs="仿宋"/>
          <w:color w:val="000000"/>
          <w:sz w:val="24"/>
          <w:szCs w:val="24"/>
          <w:highlight w:val="none"/>
          <w:lang w:val="en-US" w:eastAsia="zh-CN"/>
        </w:rPr>
        <w:t>比选</w:t>
      </w:r>
      <w:r>
        <w:rPr>
          <w:rFonts w:hint="eastAsia" w:ascii="Times New Roman" w:hAnsi="Times New Roman" w:eastAsia="仿宋" w:cs="仿宋"/>
          <w:color w:val="000000"/>
          <w:sz w:val="24"/>
          <w:szCs w:val="24"/>
          <w:highlight w:val="none"/>
        </w:rPr>
        <w:t>文件、</w:t>
      </w:r>
      <w:r>
        <w:rPr>
          <w:rFonts w:hint="eastAsia" w:ascii="Times New Roman" w:hAnsi="Times New Roman" w:eastAsia="仿宋" w:cs="仿宋"/>
          <w:color w:val="000000"/>
          <w:sz w:val="24"/>
          <w:szCs w:val="24"/>
          <w:highlight w:val="none"/>
          <w:lang w:val="en-US" w:eastAsia="zh-CN"/>
        </w:rPr>
        <w:t>参选</w:t>
      </w:r>
      <w:r>
        <w:rPr>
          <w:rFonts w:hint="eastAsia" w:ascii="Times New Roman" w:hAnsi="Times New Roman" w:eastAsia="仿宋" w:cs="仿宋"/>
          <w:color w:val="000000"/>
          <w:sz w:val="24"/>
          <w:szCs w:val="24"/>
          <w:highlight w:val="none"/>
        </w:rPr>
        <w:t>文件、合同文件等文件存在描述不一致的，甲方有权根据本项目实际情况选择适用。如因软件知识产权问题而导致甲方受到第三方侵权等指控，乙方应承担相应责任并赔偿甲方由此造成的损失。</w:t>
      </w:r>
    </w:p>
    <w:p w14:paraId="77444512">
      <w:pPr>
        <w:keepNext w:val="0"/>
        <w:keepLines w:val="0"/>
        <w:pageBreakBefore w:val="0"/>
        <w:kinsoku/>
        <w:wordWrap/>
        <w:overflowPunct/>
        <w:topLinePunct w:val="0"/>
        <w:bidi w:val="0"/>
        <w:adjustRightInd/>
        <w:snapToGrid/>
        <w:spacing w:line="520" w:lineRule="exact"/>
        <w:ind w:left="0" w:firstLine="480" w:firstLineChars="200"/>
        <w:textAlignment w:val="auto"/>
        <w:rPr>
          <w:rFonts w:hint="eastAsia" w:ascii="Times New Roman" w:hAnsi="Times New Roman" w:eastAsia="仿宋" w:cs="仿宋"/>
          <w:color w:val="000000"/>
          <w:sz w:val="24"/>
          <w:szCs w:val="24"/>
          <w:highlight w:val="none"/>
        </w:rPr>
      </w:pPr>
      <w:bookmarkStart w:id="357" w:name="_Toc11827"/>
      <w:r>
        <w:rPr>
          <w:rFonts w:hint="eastAsia" w:ascii="Times New Roman" w:hAnsi="Times New Roman" w:eastAsia="仿宋" w:cs="仿宋"/>
          <w:color w:val="000000"/>
          <w:sz w:val="24"/>
          <w:szCs w:val="24"/>
          <w:highlight w:val="none"/>
          <w:lang w:eastAsia="zh-CN"/>
        </w:rPr>
        <w:t>（</w:t>
      </w:r>
      <w:r>
        <w:rPr>
          <w:rFonts w:hint="eastAsia" w:ascii="Times New Roman" w:hAnsi="Times New Roman" w:eastAsia="仿宋" w:cs="仿宋"/>
          <w:color w:val="000000"/>
          <w:sz w:val="24"/>
          <w:szCs w:val="24"/>
          <w:highlight w:val="none"/>
          <w:lang w:val="en-US" w:eastAsia="zh-CN"/>
        </w:rPr>
        <w:t>二</w:t>
      </w:r>
      <w:r>
        <w:rPr>
          <w:rFonts w:hint="eastAsia" w:ascii="Times New Roman" w:hAnsi="Times New Roman" w:eastAsia="仿宋" w:cs="仿宋"/>
          <w:color w:val="000000"/>
          <w:sz w:val="24"/>
          <w:szCs w:val="24"/>
          <w:highlight w:val="none"/>
          <w:lang w:eastAsia="zh-CN"/>
        </w:rPr>
        <w:t>）</w:t>
      </w:r>
      <w:r>
        <w:rPr>
          <w:rFonts w:hint="eastAsia" w:ascii="Times New Roman" w:hAnsi="Times New Roman" w:eastAsia="仿宋" w:cs="仿宋"/>
          <w:color w:val="000000"/>
          <w:sz w:val="24"/>
          <w:szCs w:val="24"/>
          <w:highlight w:val="none"/>
        </w:rPr>
        <w:t>验收程序和方法</w:t>
      </w:r>
      <w:bookmarkEnd w:id="357"/>
    </w:p>
    <w:p w14:paraId="351F501D">
      <w:pPr>
        <w:keepNext w:val="0"/>
        <w:keepLines w:val="0"/>
        <w:pageBreakBefore w:val="0"/>
        <w:kinsoku/>
        <w:wordWrap/>
        <w:overflowPunct/>
        <w:topLinePunct w:val="0"/>
        <w:bidi w:val="0"/>
        <w:adjustRightInd/>
        <w:snapToGrid/>
        <w:spacing w:line="520" w:lineRule="exact"/>
        <w:ind w:left="0" w:firstLine="480" w:firstLineChars="200"/>
        <w:textAlignment w:val="auto"/>
        <w:rPr>
          <w:rFonts w:hint="eastAsia" w:ascii="Times New Roman" w:hAnsi="Times New Roman" w:eastAsia="仿宋" w:cs="仿宋"/>
          <w:color w:val="000000"/>
          <w:sz w:val="24"/>
          <w:szCs w:val="24"/>
          <w:highlight w:val="none"/>
          <w:lang w:eastAsia="zh-CN"/>
        </w:rPr>
      </w:pPr>
      <w:r>
        <w:rPr>
          <w:rFonts w:hint="eastAsia" w:ascii="Times New Roman" w:hAnsi="Times New Roman" w:eastAsia="仿宋" w:cs="仿宋"/>
          <w:color w:val="000000"/>
          <w:sz w:val="24"/>
          <w:szCs w:val="24"/>
          <w:highlight w:val="none"/>
          <w:lang w:val="en-US" w:eastAsia="zh-CN"/>
        </w:rPr>
        <w:t>1.</w:t>
      </w:r>
      <w:r>
        <w:rPr>
          <w:rFonts w:hint="eastAsia" w:ascii="Times New Roman" w:hAnsi="Times New Roman" w:eastAsia="仿宋" w:cs="仿宋"/>
          <w:color w:val="000000"/>
          <w:sz w:val="24"/>
          <w:szCs w:val="24"/>
          <w:highlight w:val="none"/>
        </w:rPr>
        <w:t>在所有</w:t>
      </w:r>
      <w:r>
        <w:rPr>
          <w:rFonts w:hint="eastAsia" w:ascii="Times New Roman" w:hAnsi="Times New Roman" w:eastAsia="仿宋" w:cs="仿宋"/>
          <w:color w:val="000000"/>
          <w:sz w:val="24"/>
          <w:szCs w:val="24"/>
          <w:highlight w:val="none"/>
          <w:lang w:val="en-US" w:eastAsia="zh-CN"/>
        </w:rPr>
        <w:t>设备</w:t>
      </w:r>
      <w:r>
        <w:rPr>
          <w:rFonts w:hint="eastAsia" w:ascii="Times New Roman" w:hAnsi="Times New Roman" w:eastAsia="仿宋" w:cs="仿宋"/>
          <w:color w:val="000000"/>
          <w:sz w:val="24"/>
          <w:szCs w:val="24"/>
          <w:highlight w:val="none"/>
        </w:rPr>
        <w:t>系统安装调试完毕且能够正常使用后，乙方向甲方提出</w:t>
      </w:r>
      <w:r>
        <w:rPr>
          <w:rFonts w:hint="eastAsia" w:ascii="Times New Roman" w:hAnsi="Times New Roman" w:eastAsia="仿宋" w:cs="仿宋"/>
          <w:color w:val="000000"/>
          <w:sz w:val="24"/>
          <w:szCs w:val="24"/>
          <w:highlight w:val="none"/>
          <w:lang w:val="en-US" w:eastAsia="zh-CN"/>
        </w:rPr>
        <w:t>验收</w:t>
      </w:r>
      <w:r>
        <w:rPr>
          <w:rFonts w:hint="eastAsia" w:ascii="Times New Roman" w:hAnsi="Times New Roman" w:eastAsia="仿宋" w:cs="仿宋"/>
          <w:color w:val="000000"/>
          <w:sz w:val="24"/>
          <w:szCs w:val="24"/>
          <w:highlight w:val="none"/>
        </w:rPr>
        <w:t>申请，</w:t>
      </w:r>
      <w:r>
        <w:rPr>
          <w:rFonts w:hint="eastAsia" w:ascii="Times New Roman" w:hAnsi="Times New Roman" w:eastAsia="仿宋" w:cs="仿宋"/>
          <w:color w:val="000000"/>
          <w:sz w:val="24"/>
          <w:szCs w:val="24"/>
          <w:highlight w:val="none"/>
          <w:lang w:val="en-US" w:eastAsia="zh-CN"/>
        </w:rPr>
        <w:t>并</w:t>
      </w:r>
      <w:r>
        <w:rPr>
          <w:rFonts w:hint="eastAsia" w:ascii="Times New Roman" w:hAnsi="Times New Roman" w:eastAsia="仿宋" w:cs="仿宋"/>
          <w:color w:val="000000"/>
          <w:sz w:val="24"/>
          <w:szCs w:val="24"/>
          <w:highlight w:val="none"/>
        </w:rPr>
        <w:t>提供本项目的全部资料</w:t>
      </w:r>
      <w:r>
        <w:rPr>
          <w:rFonts w:hint="eastAsia" w:ascii="Times New Roman" w:hAnsi="Times New Roman" w:eastAsia="仿宋" w:cs="仿宋"/>
          <w:color w:val="000000"/>
          <w:sz w:val="24"/>
          <w:szCs w:val="24"/>
          <w:highlight w:val="none"/>
          <w:lang w:eastAsia="zh-CN"/>
        </w:rPr>
        <w:t>，</w:t>
      </w:r>
      <w:r>
        <w:rPr>
          <w:rFonts w:hint="eastAsia" w:ascii="Times New Roman" w:hAnsi="Times New Roman" w:eastAsia="仿宋" w:cs="仿宋"/>
          <w:color w:val="000000"/>
          <w:sz w:val="24"/>
          <w:szCs w:val="24"/>
          <w:highlight w:val="none"/>
        </w:rPr>
        <w:t>甲方组织人员进行</w:t>
      </w:r>
      <w:r>
        <w:rPr>
          <w:rFonts w:hint="eastAsia" w:ascii="Times New Roman" w:hAnsi="Times New Roman" w:eastAsia="仿宋" w:cs="仿宋"/>
          <w:color w:val="000000"/>
          <w:sz w:val="24"/>
          <w:szCs w:val="24"/>
          <w:highlight w:val="none"/>
          <w:lang w:val="en-US" w:eastAsia="zh-CN"/>
        </w:rPr>
        <w:t>验收，</w:t>
      </w:r>
      <w:r>
        <w:rPr>
          <w:rFonts w:hint="eastAsia" w:ascii="Times New Roman" w:hAnsi="Times New Roman" w:eastAsia="仿宋" w:cs="仿宋"/>
          <w:color w:val="000000"/>
          <w:sz w:val="24"/>
          <w:szCs w:val="24"/>
          <w:highlight w:val="none"/>
        </w:rPr>
        <w:t>甲方、乙方按合同约定进行终验。</w:t>
      </w:r>
    </w:p>
    <w:p w14:paraId="4D8AD378">
      <w:pPr>
        <w:keepNext w:val="0"/>
        <w:keepLines w:val="0"/>
        <w:pageBreakBefore w:val="0"/>
        <w:kinsoku/>
        <w:wordWrap/>
        <w:overflowPunct/>
        <w:topLinePunct w:val="0"/>
        <w:bidi w:val="0"/>
        <w:adjustRightInd/>
        <w:snapToGrid/>
        <w:spacing w:line="520" w:lineRule="exact"/>
        <w:ind w:left="0" w:firstLine="480" w:firstLineChars="200"/>
        <w:textAlignment w:val="auto"/>
        <w:rPr>
          <w:rFonts w:hint="eastAsia"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lang w:val="en-US" w:eastAsia="zh-CN"/>
        </w:rPr>
        <w:t>2.验收</w:t>
      </w:r>
      <w:r>
        <w:rPr>
          <w:rFonts w:hint="eastAsia" w:ascii="Times New Roman" w:hAnsi="Times New Roman" w:eastAsia="仿宋" w:cs="仿宋"/>
          <w:color w:val="000000"/>
          <w:sz w:val="24"/>
          <w:szCs w:val="24"/>
          <w:highlight w:val="none"/>
        </w:rPr>
        <w:t>期间，如发现系统质量问题，系统某一项指标不能满足技术规范要求时，乙方必须在48小时内响应并排除故障。</w:t>
      </w:r>
    </w:p>
    <w:p w14:paraId="201B16F0">
      <w:pPr>
        <w:keepNext w:val="0"/>
        <w:keepLines w:val="0"/>
        <w:pageBreakBefore w:val="0"/>
        <w:kinsoku/>
        <w:wordWrap/>
        <w:overflowPunct/>
        <w:topLinePunct w:val="0"/>
        <w:bidi w:val="0"/>
        <w:adjustRightInd/>
        <w:snapToGrid/>
        <w:spacing w:line="520" w:lineRule="exact"/>
        <w:ind w:left="0" w:firstLine="480" w:firstLineChars="200"/>
        <w:textAlignment w:val="auto"/>
        <w:rPr>
          <w:rFonts w:hint="eastAsia"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lang w:val="en-US" w:eastAsia="zh-CN"/>
        </w:rPr>
        <w:t>3..</w:t>
      </w:r>
      <w:r>
        <w:rPr>
          <w:rFonts w:hint="eastAsia" w:ascii="Times New Roman" w:hAnsi="Times New Roman" w:eastAsia="仿宋" w:cs="仿宋"/>
          <w:color w:val="000000"/>
          <w:sz w:val="24"/>
          <w:szCs w:val="24"/>
          <w:highlight w:val="none"/>
        </w:rPr>
        <w:t>如果系统整体性测试未达到要求，并且没有在甲方规定时间内整改达标的，甲方有权解除合同，并有权视具体情况要求乙方返还全部或部分费用、赔偿损失。</w:t>
      </w:r>
    </w:p>
    <w:p w14:paraId="23663402">
      <w:pPr>
        <w:keepNext w:val="0"/>
        <w:keepLines w:val="0"/>
        <w:pageBreakBefore w:val="0"/>
        <w:numPr>
          <w:ilvl w:val="0"/>
          <w:numId w:val="17"/>
        </w:numPr>
        <w:kinsoku/>
        <w:wordWrap/>
        <w:overflowPunct/>
        <w:topLinePunct w:val="0"/>
        <w:bidi w:val="0"/>
        <w:adjustRightInd/>
        <w:snapToGrid/>
        <w:spacing w:line="520" w:lineRule="exact"/>
        <w:ind w:left="-2" w:leftChars="0" w:firstLine="482" w:firstLineChars="0"/>
        <w:textAlignment w:val="auto"/>
        <w:rPr>
          <w:rFonts w:hint="eastAsia" w:ascii="Times New Roman" w:hAnsi="Times New Roman" w:eastAsia="仿宋" w:cs="仿宋"/>
          <w:b/>
          <w:bCs/>
          <w:color w:val="000000"/>
          <w:sz w:val="24"/>
          <w:szCs w:val="24"/>
          <w:highlight w:val="none"/>
          <w:lang w:eastAsia="zh-CN"/>
        </w:rPr>
      </w:pPr>
      <w:bookmarkStart w:id="358" w:name="_Toc1298"/>
      <w:r>
        <w:rPr>
          <w:rFonts w:hint="eastAsia" w:ascii="Times New Roman" w:hAnsi="Times New Roman" w:eastAsia="仿宋" w:cs="仿宋"/>
          <w:b/>
          <w:bCs/>
          <w:color w:val="000000"/>
          <w:sz w:val="24"/>
          <w:szCs w:val="24"/>
          <w:highlight w:val="none"/>
          <w:lang w:eastAsia="zh-CN"/>
        </w:rPr>
        <w:t>服务期限</w:t>
      </w:r>
      <w:bookmarkEnd w:id="358"/>
    </w:p>
    <w:p w14:paraId="6DAA7777">
      <w:pPr>
        <w:keepNext w:val="0"/>
        <w:keepLines w:val="0"/>
        <w:pageBreakBefore w:val="0"/>
        <w:kinsoku/>
        <w:wordWrap/>
        <w:overflowPunct/>
        <w:topLinePunct w:val="0"/>
        <w:bidi w:val="0"/>
        <w:adjustRightInd/>
        <w:snapToGrid/>
        <w:spacing w:line="520" w:lineRule="exact"/>
        <w:ind w:left="0" w:firstLine="480" w:firstLineChars="200"/>
        <w:jc w:val="both"/>
        <w:textAlignment w:val="auto"/>
        <w:rPr>
          <w:rFonts w:hint="default"/>
          <w:sz w:val="24"/>
          <w:szCs w:val="24"/>
          <w:lang w:val="en-US" w:eastAsia="zh-CN"/>
        </w:rPr>
      </w:pPr>
      <w:r>
        <w:rPr>
          <w:rFonts w:hint="eastAsia" w:ascii="Times New Roman" w:hAnsi="Times New Roman" w:eastAsia="仿宋" w:cs="仿宋"/>
          <w:color w:val="000000"/>
          <w:sz w:val="24"/>
          <w:szCs w:val="24"/>
          <w:highlight w:val="none"/>
          <w:lang w:eastAsia="zh-CN"/>
        </w:rPr>
        <w:t>乙方提供本项目服务的期限为本合同签订之日起至运行维护服务结束之日（</w:t>
      </w:r>
      <w:r>
        <w:rPr>
          <w:rFonts w:hint="eastAsia" w:ascii="Times New Roman" w:hAnsi="Times New Roman" w:eastAsia="仿宋" w:cs="仿宋"/>
          <w:color w:val="000000"/>
          <w:sz w:val="24"/>
          <w:szCs w:val="24"/>
          <w:highlight w:val="none"/>
          <w:lang w:val="en-US" w:eastAsia="zh-CN"/>
        </w:rPr>
        <w:t>视频会议设备</w:t>
      </w:r>
      <w:r>
        <w:rPr>
          <w:rFonts w:hint="eastAsia" w:ascii="Times New Roman" w:hAnsi="Times New Roman" w:eastAsia="仿宋" w:cs="仿宋"/>
          <w:color w:val="000000"/>
          <w:sz w:val="24"/>
          <w:szCs w:val="24"/>
          <w:highlight w:val="none"/>
          <w:lang w:eastAsia="zh-CN"/>
        </w:rPr>
        <w:t>质保期为</w:t>
      </w:r>
      <w:r>
        <w:rPr>
          <w:rFonts w:hint="eastAsia" w:ascii="仿宋" w:hAnsi="仿宋" w:eastAsia="仿宋" w:cs="仿宋"/>
          <w:color w:val="000000"/>
          <w:sz w:val="24"/>
          <w:szCs w:val="24"/>
          <w:highlight w:val="none"/>
          <w:lang w:val="en-US" w:eastAsia="zh-CN"/>
        </w:rPr>
        <w:t>3</w:t>
      </w:r>
      <w:r>
        <w:rPr>
          <w:rFonts w:hint="eastAsia" w:ascii="Times New Roman" w:hAnsi="Times New Roman" w:eastAsia="仿宋" w:cs="仿宋"/>
          <w:color w:val="000000"/>
          <w:sz w:val="24"/>
          <w:szCs w:val="24"/>
          <w:highlight w:val="none"/>
          <w:lang w:eastAsia="zh-CN"/>
        </w:rPr>
        <w:t>年，</w:t>
      </w:r>
      <w:r>
        <w:rPr>
          <w:rFonts w:hint="eastAsia" w:ascii="Times New Roman" w:hAnsi="Times New Roman" w:eastAsia="仿宋" w:cs="仿宋"/>
          <w:color w:val="000000"/>
          <w:sz w:val="24"/>
          <w:szCs w:val="24"/>
          <w:highlight w:val="none"/>
          <w:lang w:val="en-US" w:eastAsia="zh-CN"/>
        </w:rPr>
        <w:t>其他设备质保期为1年</w:t>
      </w:r>
      <w:r>
        <w:rPr>
          <w:rFonts w:hint="eastAsia" w:ascii="Times New Roman" w:hAnsi="Times New Roman" w:eastAsia="仿宋" w:cs="仿宋"/>
          <w:color w:val="000000"/>
          <w:sz w:val="24"/>
          <w:szCs w:val="24"/>
          <w:highlight w:val="none"/>
          <w:lang w:eastAsia="zh-CN"/>
        </w:rPr>
        <w:t>，自项目通过终验且双方确认开始提供运行维护服务之日起算）止。</w:t>
      </w:r>
    </w:p>
    <w:p w14:paraId="673D88EA">
      <w:pPr>
        <w:keepNext w:val="0"/>
        <w:keepLines w:val="0"/>
        <w:pageBreakBefore w:val="0"/>
        <w:numPr>
          <w:ilvl w:val="0"/>
          <w:numId w:val="17"/>
        </w:numPr>
        <w:kinsoku/>
        <w:wordWrap/>
        <w:overflowPunct/>
        <w:topLinePunct w:val="0"/>
        <w:bidi w:val="0"/>
        <w:adjustRightInd/>
        <w:snapToGrid/>
        <w:spacing w:line="520" w:lineRule="exact"/>
        <w:ind w:left="-2" w:leftChars="0" w:firstLine="482" w:firstLineChars="0"/>
        <w:textAlignment w:val="auto"/>
        <w:rPr>
          <w:rFonts w:ascii="Times New Roman" w:hAnsi="Times New Roman" w:eastAsia="仿宋" w:cs="仿宋"/>
          <w:b/>
          <w:bCs/>
          <w:color w:val="000000"/>
          <w:sz w:val="24"/>
          <w:szCs w:val="24"/>
          <w:highlight w:val="none"/>
        </w:rPr>
      </w:pPr>
      <w:r>
        <w:rPr>
          <w:rFonts w:hint="eastAsia" w:ascii="Times New Roman" w:hAnsi="Times New Roman" w:eastAsia="仿宋" w:cs="仿宋"/>
          <w:b/>
          <w:bCs/>
          <w:color w:val="000000"/>
          <w:sz w:val="24"/>
          <w:szCs w:val="24"/>
          <w:highlight w:val="none"/>
        </w:rPr>
        <w:t>实施范围及双方责任</w:t>
      </w:r>
    </w:p>
    <w:p w14:paraId="237A4913">
      <w:pPr>
        <w:keepNext w:val="0"/>
        <w:keepLines w:val="0"/>
        <w:pageBreakBefore w:val="0"/>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（一）甲方的责任与义务</w:t>
      </w:r>
    </w:p>
    <w:p w14:paraId="192BB3DB">
      <w:pPr>
        <w:keepNext w:val="0"/>
        <w:keepLines w:val="0"/>
        <w:pageBreakBefore w:val="0"/>
        <w:numPr>
          <w:ilvl w:val="0"/>
          <w:numId w:val="0"/>
        </w:numPr>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lang w:val="en-US" w:eastAsia="zh-CN"/>
        </w:rPr>
        <w:t>按照工作计划进度，及时接受乙方的验收申请，组织并完成验收工作。</w:t>
      </w:r>
    </w:p>
    <w:p w14:paraId="270C8C98">
      <w:pPr>
        <w:keepNext w:val="0"/>
        <w:keepLines w:val="0"/>
        <w:pageBreakBefore w:val="0"/>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（二）乙方的责任和义务</w:t>
      </w:r>
    </w:p>
    <w:p w14:paraId="65E8C6DF">
      <w:pPr>
        <w:keepNext w:val="0"/>
        <w:keepLines w:val="0"/>
        <w:pageBreakBefore w:val="0"/>
        <w:numPr>
          <w:ilvl w:val="0"/>
          <w:numId w:val="18"/>
        </w:numPr>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合同签订后，乙方负责</w:t>
      </w:r>
      <w:r>
        <w:rPr>
          <w:rFonts w:hint="eastAsia" w:ascii="Times New Roman" w:hAnsi="Times New Roman" w:eastAsia="仿宋" w:cs="仿宋"/>
          <w:color w:val="000000"/>
          <w:sz w:val="24"/>
          <w:szCs w:val="24"/>
          <w:highlight w:val="none"/>
          <w:lang w:val="en-US" w:eastAsia="zh-CN"/>
        </w:rPr>
        <w:t>设备</w:t>
      </w:r>
      <w:r>
        <w:rPr>
          <w:rFonts w:hint="eastAsia" w:ascii="Times New Roman" w:hAnsi="Times New Roman" w:eastAsia="仿宋" w:cs="仿宋"/>
          <w:color w:val="000000"/>
          <w:sz w:val="24"/>
          <w:szCs w:val="24"/>
          <w:highlight w:val="none"/>
        </w:rPr>
        <w:t>供货、安装、调试。</w:t>
      </w:r>
    </w:p>
    <w:p w14:paraId="0A71D852">
      <w:pPr>
        <w:keepNext w:val="0"/>
        <w:keepLines w:val="0"/>
        <w:pageBreakBefore w:val="0"/>
        <w:numPr>
          <w:ilvl w:val="0"/>
          <w:numId w:val="18"/>
        </w:numPr>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乙方负责配合甲方进行应用系统联调并处理联调过程中与乙方所供产品相关的问题。</w:t>
      </w:r>
    </w:p>
    <w:p w14:paraId="5785FD1F">
      <w:pPr>
        <w:keepNext w:val="0"/>
        <w:keepLines w:val="0"/>
        <w:pageBreakBefore w:val="0"/>
        <w:numPr>
          <w:ilvl w:val="0"/>
          <w:numId w:val="17"/>
        </w:numPr>
        <w:kinsoku/>
        <w:wordWrap/>
        <w:overflowPunct/>
        <w:topLinePunct w:val="0"/>
        <w:bidi w:val="0"/>
        <w:adjustRightInd/>
        <w:snapToGrid/>
        <w:spacing w:line="520" w:lineRule="exact"/>
        <w:ind w:left="-2" w:leftChars="0" w:firstLine="482" w:firstLineChars="0"/>
        <w:textAlignment w:val="auto"/>
        <w:rPr>
          <w:rFonts w:ascii="Times New Roman" w:hAnsi="Times New Roman" w:eastAsia="仿宋" w:cs="仿宋"/>
          <w:b/>
          <w:bCs/>
          <w:color w:val="000000"/>
          <w:sz w:val="24"/>
          <w:szCs w:val="24"/>
          <w:highlight w:val="none"/>
        </w:rPr>
      </w:pPr>
      <w:r>
        <w:rPr>
          <w:rFonts w:hint="eastAsia" w:ascii="Times New Roman" w:hAnsi="Times New Roman" w:eastAsia="仿宋" w:cs="仿宋"/>
          <w:b/>
          <w:bCs/>
          <w:color w:val="000000"/>
          <w:sz w:val="24"/>
          <w:szCs w:val="24"/>
          <w:highlight w:val="none"/>
        </w:rPr>
        <w:t>知识产权</w:t>
      </w:r>
    </w:p>
    <w:p w14:paraId="2C6DDD19">
      <w:pPr>
        <w:keepNext w:val="0"/>
        <w:keepLines w:val="0"/>
        <w:pageBreakBefore w:val="0"/>
        <w:widowControl w:val="0"/>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乙方提供的采购标的应符合国家知识产权法律、法规的规定且非假冒伪劣产品；乙方还应保证甲方不受到第三方关于侵犯知识产权方面的指控，任何第三方如果提出此方面指控均与甲方无关，乙方应与第三方交涉，并承担可能发生的一切法律责任、费用和后果；若甲方因此而遭致损失，则乙方应赔偿该损失。若乙方提供的采购标的不符合国家知识产权法律、法规的规定或被有关主管机关认定为假冒伪劣品，则乙方中选或成交资格将被取消；甲方还将按照有关法律、法规和规章的规定进行处理。</w:t>
      </w:r>
    </w:p>
    <w:p w14:paraId="191194DA">
      <w:pPr>
        <w:keepNext w:val="0"/>
        <w:keepLines w:val="0"/>
        <w:pageBreakBefore w:val="0"/>
        <w:numPr>
          <w:ilvl w:val="0"/>
          <w:numId w:val="17"/>
        </w:numPr>
        <w:kinsoku/>
        <w:wordWrap/>
        <w:overflowPunct/>
        <w:topLinePunct w:val="0"/>
        <w:bidi w:val="0"/>
        <w:adjustRightInd/>
        <w:snapToGrid/>
        <w:spacing w:line="520" w:lineRule="exact"/>
        <w:ind w:left="-2" w:leftChars="0" w:firstLine="482" w:firstLineChars="0"/>
        <w:textAlignment w:val="auto"/>
        <w:rPr>
          <w:rFonts w:ascii="Times New Roman" w:hAnsi="Times New Roman" w:eastAsia="仿宋" w:cs="仿宋"/>
          <w:b/>
          <w:bCs/>
          <w:color w:val="000000"/>
          <w:sz w:val="24"/>
          <w:szCs w:val="24"/>
          <w:highlight w:val="none"/>
        </w:rPr>
      </w:pPr>
      <w:r>
        <w:rPr>
          <w:rFonts w:hint="eastAsia" w:ascii="Times New Roman" w:hAnsi="Times New Roman" w:eastAsia="仿宋" w:cs="仿宋"/>
          <w:b/>
          <w:bCs/>
          <w:color w:val="000000"/>
          <w:sz w:val="24"/>
          <w:szCs w:val="24"/>
          <w:highlight w:val="none"/>
        </w:rPr>
        <w:t>合同变更与终止</w:t>
      </w:r>
    </w:p>
    <w:p w14:paraId="1F06407A">
      <w:pPr>
        <w:keepNext w:val="0"/>
        <w:keepLines w:val="0"/>
        <w:pageBreakBefore w:val="0"/>
        <w:numPr>
          <w:ilvl w:val="0"/>
          <w:numId w:val="19"/>
        </w:numPr>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本合同一经签订即生效，双方均不得擅自变更和解除。双方同意变更合同时，应另行签订书面补充协议。</w:t>
      </w:r>
    </w:p>
    <w:p w14:paraId="33E799EA">
      <w:pPr>
        <w:keepNext w:val="0"/>
        <w:keepLines w:val="0"/>
        <w:pageBreakBefore w:val="0"/>
        <w:numPr>
          <w:ilvl w:val="0"/>
          <w:numId w:val="19"/>
        </w:numPr>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在合同履行过程中，因国家政策调整而引起本合同无法正常执行时，应</w:t>
      </w:r>
      <w:bookmarkStart w:id="474" w:name="_GoBack"/>
      <w:bookmarkEnd w:id="474"/>
      <w:r>
        <w:rPr>
          <w:rFonts w:hint="eastAsia" w:ascii="Times New Roman" w:hAnsi="Times New Roman" w:eastAsia="仿宋" w:cs="仿宋"/>
          <w:color w:val="000000"/>
          <w:sz w:val="24"/>
          <w:szCs w:val="24"/>
          <w:highlight w:val="none"/>
        </w:rPr>
        <w:t>免除违约方的责任，但违约方应及时通知对方，并向对方提出终止履行合同或修改合同有关条款的建议；对方不同意继续履行合同的，本合同终止，双方互不承担责任。</w:t>
      </w:r>
    </w:p>
    <w:p w14:paraId="4CCC6B8C">
      <w:pPr>
        <w:keepNext w:val="0"/>
        <w:keepLines w:val="0"/>
        <w:pageBreakBefore w:val="0"/>
        <w:numPr>
          <w:ilvl w:val="0"/>
          <w:numId w:val="19"/>
        </w:numPr>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守约方有权在合同具备解除条件后10日内以书面形式通知对方解除合同。因一方违约导致守约方根据本合同约定解除合同，违约方还应根据本合同相关约定对守约方承担违约赔偿责任。</w:t>
      </w:r>
    </w:p>
    <w:p w14:paraId="3B00FFDF">
      <w:pPr>
        <w:keepNext w:val="0"/>
        <w:keepLines w:val="0"/>
        <w:pageBreakBefore w:val="0"/>
        <w:numPr>
          <w:ilvl w:val="0"/>
          <w:numId w:val="17"/>
        </w:numPr>
        <w:kinsoku/>
        <w:wordWrap/>
        <w:overflowPunct/>
        <w:topLinePunct w:val="0"/>
        <w:bidi w:val="0"/>
        <w:adjustRightInd/>
        <w:snapToGrid/>
        <w:spacing w:line="520" w:lineRule="exact"/>
        <w:ind w:left="-2" w:leftChars="0" w:firstLine="482" w:firstLineChars="0"/>
        <w:textAlignment w:val="auto"/>
        <w:rPr>
          <w:rFonts w:ascii="Times New Roman" w:hAnsi="Times New Roman" w:eastAsia="仿宋" w:cs="仿宋"/>
          <w:b/>
          <w:bCs/>
          <w:color w:val="000000"/>
          <w:sz w:val="24"/>
          <w:szCs w:val="24"/>
          <w:highlight w:val="none"/>
        </w:rPr>
      </w:pPr>
      <w:r>
        <w:rPr>
          <w:rFonts w:hint="eastAsia" w:ascii="Times New Roman" w:hAnsi="Times New Roman" w:eastAsia="仿宋" w:cs="仿宋"/>
          <w:b/>
          <w:bCs/>
          <w:color w:val="000000"/>
          <w:sz w:val="24"/>
          <w:szCs w:val="24"/>
          <w:highlight w:val="none"/>
        </w:rPr>
        <w:t>违约责任</w:t>
      </w:r>
    </w:p>
    <w:p w14:paraId="6CCDF719">
      <w:pPr>
        <w:keepNext w:val="0"/>
        <w:keepLines w:val="0"/>
        <w:pageBreakBefore w:val="0"/>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（一）甲方违约责任</w:t>
      </w:r>
    </w:p>
    <w:p w14:paraId="66287D92">
      <w:pPr>
        <w:keepNext w:val="0"/>
        <w:keepLines w:val="0"/>
        <w:pageBreakBefore w:val="0"/>
        <w:numPr>
          <w:ilvl w:val="0"/>
          <w:numId w:val="0"/>
        </w:numPr>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甲方未按合同约定付款的，</w:t>
      </w:r>
      <w:r>
        <w:rPr>
          <w:rFonts w:hint="eastAsia" w:ascii="Times New Roman" w:hAnsi="Times New Roman" w:eastAsia="仿宋" w:cs="仿宋"/>
          <w:caps w:val="0"/>
          <w:color w:val="000000"/>
          <w:highlight w:val="none"/>
        </w:rPr>
        <w:t>每逾期一日，以应付未付款项为基数按同期全国银行间同业拆借中心公布的一年期贷款市场报价利率（LPR）标准向乙方支付违约金</w:t>
      </w:r>
      <w:r>
        <w:rPr>
          <w:rFonts w:hint="eastAsia" w:ascii="Times New Roman" w:hAnsi="Times New Roman" w:eastAsia="仿宋" w:cs="仿宋"/>
          <w:color w:val="000000"/>
          <w:sz w:val="24"/>
          <w:szCs w:val="24"/>
          <w:highlight w:val="none"/>
        </w:rPr>
        <w:t>。</w:t>
      </w:r>
    </w:p>
    <w:p w14:paraId="4F66E48B">
      <w:pPr>
        <w:keepNext w:val="0"/>
        <w:keepLines w:val="0"/>
        <w:pageBreakBefore w:val="0"/>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（二）乙方违约责任</w:t>
      </w:r>
    </w:p>
    <w:p w14:paraId="428F3609">
      <w:pPr>
        <w:keepNext w:val="0"/>
        <w:keepLines w:val="0"/>
        <w:pageBreakBefore w:val="0"/>
        <w:numPr>
          <w:ilvl w:val="0"/>
          <w:numId w:val="20"/>
        </w:numPr>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在合同履行过程中，乙方存在下列情形之一的，构成违约；</w:t>
      </w:r>
    </w:p>
    <w:p w14:paraId="1EAA464F">
      <w:pPr>
        <w:keepNext w:val="0"/>
        <w:keepLines w:val="0"/>
        <w:pageBreakBefore w:val="0"/>
        <w:numPr>
          <w:ilvl w:val="0"/>
          <w:numId w:val="0"/>
        </w:numPr>
        <w:kinsoku/>
        <w:wordWrap/>
        <w:overflowPunct/>
        <w:topLinePunct w:val="0"/>
        <w:bidi w:val="0"/>
        <w:adjustRightInd/>
        <w:snapToGrid/>
        <w:spacing w:line="520" w:lineRule="exact"/>
        <w:ind w:left="0" w:leftChars="0" w:firstLine="480" w:firstLineChars="200"/>
        <w:textAlignment w:val="auto"/>
        <w:rPr>
          <w:rFonts w:ascii="Times New Roman" w:hAnsi="Times New Roman" w:eastAsia="仿宋" w:cs="仿宋"/>
          <w:color w:val="000000"/>
          <w:sz w:val="24"/>
          <w:szCs w:val="24"/>
          <w:highlight w:val="none"/>
        </w:rPr>
      </w:pPr>
      <w:r>
        <w:rPr>
          <w:rFonts w:hint="default" w:ascii="仿宋" w:hAnsi="仿宋" w:eastAsia="仿宋" w:cs="仿宋"/>
          <w:color w:val="000000"/>
          <w:sz w:val="24"/>
          <w:szCs w:val="24"/>
          <w:lang w:val="en-US" w:eastAsia="zh-CN" w:bidi="ar-SA"/>
        </w:rPr>
        <w:t>(1)</w:t>
      </w:r>
      <w:r>
        <w:rPr>
          <w:rFonts w:hint="eastAsia" w:ascii="Times New Roman" w:hAnsi="Times New Roman" w:eastAsia="仿宋" w:cs="仿宋"/>
          <w:color w:val="000000"/>
          <w:sz w:val="24"/>
          <w:szCs w:val="24"/>
          <w:highlight w:val="none"/>
        </w:rPr>
        <w:t>因乙方原因导致提供的服务不符合合同要求或存在瑕疵的；</w:t>
      </w:r>
    </w:p>
    <w:p w14:paraId="5A58F47A">
      <w:pPr>
        <w:keepNext w:val="0"/>
        <w:keepLines w:val="0"/>
        <w:pageBreakBefore w:val="0"/>
        <w:numPr>
          <w:ilvl w:val="0"/>
          <w:numId w:val="0"/>
        </w:numPr>
        <w:kinsoku/>
        <w:wordWrap/>
        <w:overflowPunct/>
        <w:topLinePunct w:val="0"/>
        <w:bidi w:val="0"/>
        <w:adjustRightInd/>
        <w:snapToGrid/>
        <w:spacing w:line="520" w:lineRule="exact"/>
        <w:ind w:left="0" w:leftChars="0" w:firstLine="480" w:firstLineChars="200"/>
        <w:textAlignment w:val="auto"/>
        <w:rPr>
          <w:rFonts w:ascii="Times New Roman" w:hAnsi="Times New Roman" w:eastAsia="仿宋" w:cs="仿宋"/>
          <w:color w:val="000000"/>
          <w:sz w:val="24"/>
          <w:szCs w:val="24"/>
          <w:highlight w:val="none"/>
        </w:rPr>
      </w:pPr>
      <w:r>
        <w:rPr>
          <w:rFonts w:hint="default" w:ascii="仿宋" w:hAnsi="仿宋" w:eastAsia="仿宋" w:cs="仿宋"/>
          <w:color w:val="000000"/>
          <w:sz w:val="24"/>
          <w:szCs w:val="24"/>
          <w:lang w:val="en-US" w:eastAsia="zh-CN" w:bidi="ar-SA"/>
        </w:rPr>
        <w:t>(2)</w:t>
      </w:r>
      <w:r>
        <w:rPr>
          <w:rFonts w:hint="eastAsia" w:ascii="Times New Roman" w:hAnsi="Times New Roman" w:eastAsia="仿宋" w:cs="仿宋"/>
          <w:color w:val="000000"/>
          <w:sz w:val="24"/>
          <w:szCs w:val="24"/>
          <w:highlight w:val="none"/>
        </w:rPr>
        <w:t>乙方向甲方人员行贿或给予其他不合法利益等行为；</w:t>
      </w:r>
    </w:p>
    <w:p w14:paraId="5375EAE0">
      <w:pPr>
        <w:keepNext w:val="0"/>
        <w:keepLines w:val="0"/>
        <w:pageBreakBefore w:val="0"/>
        <w:numPr>
          <w:ilvl w:val="0"/>
          <w:numId w:val="0"/>
        </w:numPr>
        <w:kinsoku/>
        <w:wordWrap/>
        <w:overflowPunct/>
        <w:topLinePunct w:val="0"/>
        <w:bidi w:val="0"/>
        <w:adjustRightInd/>
        <w:snapToGrid/>
        <w:spacing w:line="520" w:lineRule="exact"/>
        <w:ind w:left="0" w:leftChars="0" w:firstLine="480" w:firstLineChars="200"/>
        <w:textAlignment w:val="auto"/>
        <w:rPr>
          <w:rFonts w:ascii="Times New Roman" w:hAnsi="Times New Roman" w:eastAsia="仿宋" w:cs="仿宋"/>
          <w:color w:val="000000"/>
          <w:sz w:val="24"/>
          <w:szCs w:val="24"/>
          <w:highlight w:val="none"/>
        </w:rPr>
      </w:pPr>
      <w:r>
        <w:rPr>
          <w:rFonts w:hint="default" w:ascii="仿宋" w:hAnsi="仿宋" w:eastAsia="仿宋" w:cs="仿宋"/>
          <w:color w:val="000000"/>
          <w:sz w:val="24"/>
          <w:szCs w:val="24"/>
          <w:lang w:val="en-US" w:eastAsia="zh-CN" w:bidi="ar-SA"/>
        </w:rPr>
        <w:t>(3)</w:t>
      </w:r>
      <w:r>
        <w:rPr>
          <w:rFonts w:hint="eastAsia" w:ascii="Times New Roman" w:hAnsi="Times New Roman" w:eastAsia="仿宋" w:cs="仿宋"/>
          <w:color w:val="000000"/>
          <w:sz w:val="24"/>
          <w:szCs w:val="24"/>
          <w:highlight w:val="none"/>
        </w:rPr>
        <w:t>乙方明确表示或以其行为表明不履行合同主要义务的；</w:t>
      </w:r>
    </w:p>
    <w:p w14:paraId="01DD8FD5">
      <w:pPr>
        <w:keepNext w:val="0"/>
        <w:keepLines w:val="0"/>
        <w:pageBreakBefore w:val="0"/>
        <w:numPr>
          <w:ilvl w:val="0"/>
          <w:numId w:val="0"/>
        </w:numPr>
        <w:kinsoku/>
        <w:wordWrap/>
        <w:overflowPunct/>
        <w:topLinePunct w:val="0"/>
        <w:bidi w:val="0"/>
        <w:adjustRightInd/>
        <w:snapToGrid/>
        <w:spacing w:line="520" w:lineRule="exact"/>
        <w:ind w:left="0" w:leftChars="0" w:firstLine="480" w:firstLineChars="200"/>
        <w:textAlignment w:val="auto"/>
        <w:rPr>
          <w:rFonts w:ascii="Times New Roman" w:hAnsi="Times New Roman" w:eastAsia="仿宋" w:cs="仿宋"/>
          <w:color w:val="000000"/>
          <w:sz w:val="24"/>
          <w:szCs w:val="24"/>
          <w:highlight w:val="none"/>
        </w:rPr>
      </w:pPr>
      <w:r>
        <w:rPr>
          <w:rFonts w:hint="default" w:ascii="仿宋" w:hAnsi="仿宋" w:eastAsia="仿宋" w:cs="仿宋"/>
          <w:color w:val="000000"/>
          <w:sz w:val="24"/>
          <w:szCs w:val="24"/>
          <w:lang w:val="en-US" w:eastAsia="zh-CN" w:bidi="ar-SA"/>
        </w:rPr>
        <w:t>(4)</w:t>
      </w:r>
      <w:r>
        <w:rPr>
          <w:rFonts w:hint="eastAsia" w:ascii="Times New Roman" w:hAnsi="Times New Roman" w:eastAsia="仿宋" w:cs="仿宋"/>
          <w:color w:val="000000"/>
          <w:sz w:val="24"/>
          <w:szCs w:val="24"/>
          <w:highlight w:val="none"/>
        </w:rPr>
        <w:t>乙方未能按照本合同约定履行其他义务的。</w:t>
      </w:r>
    </w:p>
    <w:p w14:paraId="0752F723">
      <w:pPr>
        <w:keepNext w:val="0"/>
        <w:keepLines w:val="0"/>
        <w:pageBreakBefore w:val="0"/>
        <w:numPr>
          <w:ilvl w:val="0"/>
          <w:numId w:val="20"/>
        </w:numPr>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除本合同其他条款另有约定外，乙方存在本第1款约定的违约情形，应按合同总价的10%向甲方支付违约金，并赔偿甲方由此造成的其他损失；如因乙方违约造成本合同无法继续履行或乙方在收到甲方整改通知之日起在15日内仍未纠正其违约行为的，甲方还有权随时解除合同，要求乙方退还已收取的费用，并赔偿甲方由此造成的其他损失。</w:t>
      </w:r>
    </w:p>
    <w:p w14:paraId="09C8E84B">
      <w:pPr>
        <w:keepNext w:val="0"/>
        <w:keepLines w:val="0"/>
        <w:pageBreakBefore w:val="0"/>
        <w:numPr>
          <w:ilvl w:val="0"/>
          <w:numId w:val="20"/>
        </w:numPr>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乙方未能按本合同规定期限完成相应工作的，应提交书面解释给甲方，经甲方认可的，交付时间可适当延长，但顺延时间不超过5个工作日。甲方不同意顺延或顺延期满仍未交付的，每逾期一日，乙方应向甲方支付合同总价0.5%的违约金；逾期超过15日的，甲方还有权解除本合同，要求乙方退还已收取的费用，并赔偿甲方由此造成的其他损失。</w:t>
      </w:r>
    </w:p>
    <w:p w14:paraId="74053AE7">
      <w:pPr>
        <w:keepNext w:val="0"/>
        <w:keepLines w:val="0"/>
        <w:pageBreakBefore w:val="0"/>
        <w:numPr>
          <w:ilvl w:val="0"/>
          <w:numId w:val="20"/>
        </w:numPr>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乙方应当向甲方支付的违约金、赔偿金，甲方可以直接从应付的合同价款中作相应扣除。</w:t>
      </w:r>
    </w:p>
    <w:p w14:paraId="5978CBF8">
      <w:pPr>
        <w:keepNext w:val="0"/>
        <w:keepLines w:val="0"/>
        <w:pageBreakBefore w:val="0"/>
        <w:numPr>
          <w:ilvl w:val="0"/>
          <w:numId w:val="20"/>
        </w:numPr>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本合同违约及赔偿金额累计不超过合同总价，守约方有证据证明违约方的违约行为给守约方造成的损失超过合同总价的除外。</w:t>
      </w:r>
    </w:p>
    <w:p w14:paraId="25CEC0B1">
      <w:pPr>
        <w:keepNext w:val="0"/>
        <w:keepLines w:val="0"/>
        <w:pageBreakBefore w:val="0"/>
        <w:numPr>
          <w:ilvl w:val="0"/>
          <w:numId w:val="17"/>
        </w:numPr>
        <w:kinsoku/>
        <w:wordWrap/>
        <w:overflowPunct/>
        <w:topLinePunct w:val="0"/>
        <w:bidi w:val="0"/>
        <w:adjustRightInd/>
        <w:snapToGrid/>
        <w:spacing w:line="520" w:lineRule="exact"/>
        <w:ind w:left="-2" w:leftChars="0" w:firstLine="482" w:firstLineChars="0"/>
        <w:textAlignment w:val="auto"/>
        <w:rPr>
          <w:rFonts w:ascii="Times New Roman" w:hAnsi="Times New Roman" w:eastAsia="仿宋" w:cs="仿宋"/>
          <w:b/>
          <w:bCs/>
          <w:color w:val="000000"/>
          <w:sz w:val="24"/>
          <w:szCs w:val="24"/>
          <w:highlight w:val="none"/>
        </w:rPr>
      </w:pPr>
      <w:r>
        <w:rPr>
          <w:rFonts w:hint="eastAsia" w:ascii="Times New Roman" w:hAnsi="Times New Roman" w:eastAsia="仿宋" w:cs="仿宋"/>
          <w:b/>
          <w:bCs/>
          <w:color w:val="000000"/>
          <w:sz w:val="24"/>
          <w:szCs w:val="24"/>
          <w:highlight w:val="none"/>
        </w:rPr>
        <w:t>争议解决和法律适用</w:t>
      </w:r>
    </w:p>
    <w:p w14:paraId="52C32A8B">
      <w:pPr>
        <w:keepNext w:val="0"/>
        <w:keepLines w:val="0"/>
        <w:pageBreakBefore w:val="0"/>
        <w:numPr>
          <w:ilvl w:val="0"/>
          <w:numId w:val="21"/>
        </w:numPr>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因执行本合同所发生的和与本合同有关的一切争议，双方应协商、调解解决。协商、调解不成的，任何一方均可向甲方所在地有管辖权的人民法院提起诉讼。</w:t>
      </w:r>
    </w:p>
    <w:p w14:paraId="72763D5D">
      <w:pPr>
        <w:keepNext w:val="0"/>
        <w:keepLines w:val="0"/>
        <w:pageBreakBefore w:val="0"/>
        <w:numPr>
          <w:ilvl w:val="0"/>
          <w:numId w:val="21"/>
        </w:numPr>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由上述过程发生的费用（包括但不限于诉讼费、律师费、公证费、检验检测费和差旅费等其他一切必要费用）除裁判文书另有裁判外，应由败诉方承担。</w:t>
      </w:r>
    </w:p>
    <w:p w14:paraId="2DFD9132">
      <w:pPr>
        <w:keepNext w:val="0"/>
        <w:keepLines w:val="0"/>
        <w:pageBreakBefore w:val="0"/>
        <w:numPr>
          <w:ilvl w:val="0"/>
          <w:numId w:val="21"/>
        </w:numPr>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在诉讼期间，除提交人民法院裁判的事项外，合同中无争议的部分仍应继续履行。</w:t>
      </w:r>
    </w:p>
    <w:p w14:paraId="0FEBE806">
      <w:pPr>
        <w:keepNext w:val="0"/>
        <w:keepLines w:val="0"/>
        <w:pageBreakBefore w:val="0"/>
        <w:numPr>
          <w:ilvl w:val="0"/>
          <w:numId w:val="21"/>
        </w:numPr>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本合同适用法律为中华人民共和国法律。</w:t>
      </w:r>
    </w:p>
    <w:p w14:paraId="604B8779">
      <w:pPr>
        <w:keepNext w:val="0"/>
        <w:keepLines w:val="0"/>
        <w:pageBreakBefore w:val="0"/>
        <w:numPr>
          <w:ilvl w:val="0"/>
          <w:numId w:val="17"/>
        </w:numPr>
        <w:kinsoku/>
        <w:wordWrap/>
        <w:overflowPunct/>
        <w:topLinePunct w:val="0"/>
        <w:bidi w:val="0"/>
        <w:adjustRightInd/>
        <w:snapToGrid/>
        <w:spacing w:line="520" w:lineRule="exact"/>
        <w:ind w:left="-2" w:leftChars="0" w:firstLine="482" w:firstLineChars="0"/>
        <w:textAlignment w:val="auto"/>
        <w:rPr>
          <w:b/>
          <w:bCs/>
          <w:sz w:val="24"/>
          <w:szCs w:val="24"/>
        </w:rPr>
      </w:pPr>
      <w:r>
        <w:rPr>
          <w:rFonts w:hint="eastAsia" w:ascii="仿宋" w:hAnsi="仿宋" w:eastAsia="仿宋" w:cs="仿宋"/>
          <w:b/>
          <w:bCs/>
          <w:sz w:val="24"/>
          <w:szCs w:val="24"/>
          <w:lang w:val="en-US" w:eastAsia="zh-CN" w:bidi="ar-SA"/>
        </w:rPr>
        <w:t>反商业贿赂条款</w:t>
      </w:r>
    </w:p>
    <w:p w14:paraId="6CBAE752">
      <w:pPr>
        <w:keepNext w:val="0"/>
        <w:keepLines w:val="0"/>
        <w:pageBreakBefore w:val="0"/>
        <w:numPr>
          <w:ilvl w:val="0"/>
          <w:numId w:val="0"/>
        </w:numPr>
        <w:kinsoku/>
        <w:wordWrap/>
        <w:overflowPunct/>
        <w:topLinePunct w:val="0"/>
        <w:bidi w:val="0"/>
        <w:adjustRightInd/>
        <w:snapToGrid/>
        <w:spacing w:line="520" w:lineRule="exact"/>
        <w:ind w:left="0" w:leftChars="0" w:firstLine="480" w:firstLineChars="200"/>
        <w:textAlignment w:val="auto"/>
        <w:rPr>
          <w:rFonts w:hint="default" w:ascii="仿宋" w:hAnsi="仿宋" w:eastAsia="仿宋" w:cs="仿宋"/>
          <w:sz w:val="24"/>
          <w:szCs w:val="24"/>
          <w:lang w:val="en-US" w:eastAsia="zh-CN" w:bidi="ar-SA"/>
        </w:rPr>
      </w:pPr>
      <w:r>
        <w:rPr>
          <w:rFonts w:hint="eastAsia" w:ascii="仿宋" w:hAnsi="仿宋" w:eastAsia="仿宋" w:cs="仿宋"/>
          <w:sz w:val="24"/>
          <w:szCs w:val="24"/>
          <w:lang w:val="en-US" w:eastAsia="zh-CN" w:bidi="ar-SA"/>
        </w:rPr>
        <w:t>反商业贿赂条款是本合同之必备附件，与本合同具有同等法律效力，请与乙方签署合同之当事人认真阅读本条款，同意与乙方签订并遵守如下反商业贿赂条款：</w:t>
      </w:r>
    </w:p>
    <w:p w14:paraId="01CD1703">
      <w:pPr>
        <w:keepNext w:val="0"/>
        <w:keepLines w:val="0"/>
        <w:pageBreakBefore w:val="0"/>
        <w:numPr>
          <w:ilvl w:val="0"/>
          <w:numId w:val="0"/>
        </w:numPr>
        <w:kinsoku/>
        <w:wordWrap/>
        <w:overflowPunct/>
        <w:topLinePunct w:val="0"/>
        <w:bidi w:val="0"/>
        <w:adjustRightInd/>
        <w:snapToGrid/>
        <w:spacing w:line="52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双方都清楚并愿意严格遵守中华人民共和国反商业贿赂的法律规定，双方都清楚任何形式的贿赂和贪渎行为都将触犯法律，并将受到法律的严惩。</w:t>
      </w:r>
    </w:p>
    <w:p w14:paraId="70A4D500">
      <w:pPr>
        <w:keepNext w:val="0"/>
        <w:keepLines w:val="0"/>
        <w:pageBreakBefore w:val="0"/>
        <w:numPr>
          <w:ilvl w:val="0"/>
          <w:numId w:val="0"/>
        </w:numPr>
        <w:kinsoku/>
        <w:wordWrap/>
        <w:overflowPunct/>
        <w:topLinePunct w:val="0"/>
        <w:bidi w:val="0"/>
        <w:adjustRightInd/>
        <w:snapToGrid/>
        <w:spacing w:line="52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甲乙双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如因一方或一方经办人违反上述规定，给对方造成损失的，应承担损害赔偿责任。</w:t>
      </w:r>
    </w:p>
    <w:p w14:paraId="3BD79405">
      <w:pPr>
        <w:keepNext w:val="0"/>
        <w:keepLines w:val="0"/>
        <w:pageBreakBefore w:val="0"/>
        <w:numPr>
          <w:ilvl w:val="0"/>
          <w:numId w:val="0"/>
        </w:numPr>
        <w:kinsoku/>
        <w:wordWrap/>
        <w:overflowPunct/>
        <w:topLinePunct w:val="0"/>
        <w:bidi w:val="0"/>
        <w:adjustRightInd/>
        <w:snapToGrid/>
        <w:spacing w:line="520" w:lineRule="exact"/>
        <w:ind w:left="0" w:leftChars="0" w:firstLine="480" w:firstLineChars="200"/>
        <w:textAlignment w:val="auto"/>
        <w:rPr>
          <w:sz w:val="24"/>
          <w:szCs w:val="24"/>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本条所称“其他相关人员”是指双方经办人以外的与合同有直接或间接利益关系的人员，包括但不仅限于合同经办人的亲友</w:t>
      </w:r>
      <w:r>
        <w:rPr>
          <w:rFonts w:hint="eastAsia" w:ascii="Times New Roman" w:hAnsi="Times New Roman" w:eastAsia="仿宋" w:cs="仿宋"/>
          <w:color w:val="000000"/>
          <w:sz w:val="24"/>
          <w:szCs w:val="24"/>
          <w:highlight w:val="none"/>
        </w:rPr>
        <w:t>。</w:t>
      </w:r>
    </w:p>
    <w:p w14:paraId="44539211">
      <w:pPr>
        <w:keepNext w:val="0"/>
        <w:keepLines w:val="0"/>
        <w:pageBreakBefore w:val="0"/>
        <w:numPr>
          <w:ilvl w:val="0"/>
          <w:numId w:val="17"/>
        </w:numPr>
        <w:kinsoku/>
        <w:wordWrap/>
        <w:overflowPunct/>
        <w:topLinePunct w:val="0"/>
        <w:bidi w:val="0"/>
        <w:adjustRightInd/>
        <w:snapToGrid/>
        <w:spacing w:line="520" w:lineRule="exact"/>
        <w:ind w:left="-2" w:leftChars="0" w:firstLine="482" w:firstLineChars="0"/>
        <w:textAlignment w:val="auto"/>
        <w:rPr>
          <w:b/>
          <w:bCs/>
          <w:sz w:val="24"/>
          <w:szCs w:val="24"/>
        </w:rPr>
      </w:pPr>
      <w:r>
        <w:rPr>
          <w:rFonts w:hint="eastAsia" w:ascii="Times New Roman" w:hAnsi="Times New Roman" w:eastAsia="仿宋" w:cs="仿宋"/>
          <w:b/>
          <w:bCs/>
          <w:color w:val="000000"/>
          <w:sz w:val="24"/>
          <w:szCs w:val="24"/>
          <w:highlight w:val="none"/>
        </w:rPr>
        <w:t>合同生效及其它</w:t>
      </w:r>
    </w:p>
    <w:p w14:paraId="69D4C441">
      <w:pPr>
        <w:keepNext w:val="0"/>
        <w:keepLines w:val="0"/>
        <w:pageBreakBefore w:val="0"/>
        <w:numPr>
          <w:ilvl w:val="0"/>
          <w:numId w:val="0"/>
        </w:numPr>
        <w:kinsoku/>
        <w:wordWrap/>
        <w:overflowPunct/>
        <w:topLinePunct w:val="0"/>
        <w:bidi w:val="0"/>
        <w:adjustRightInd/>
        <w:snapToGrid/>
        <w:spacing w:line="520" w:lineRule="exact"/>
        <w:ind w:left="0" w:leftChars="0" w:firstLine="480" w:firstLineChars="200"/>
        <w:textAlignment w:val="auto"/>
        <w:rPr>
          <w:rFonts w:ascii="Times New Roman" w:hAnsi="Times New Roman" w:eastAsia="仿宋" w:cs="仿宋"/>
          <w:color w:val="000000"/>
          <w:sz w:val="24"/>
          <w:szCs w:val="24"/>
          <w:highlight w:val="none"/>
        </w:rPr>
      </w:pPr>
      <w:r>
        <w:rPr>
          <w:rFonts w:hint="eastAsia" w:ascii="仿宋" w:hAnsi="仿宋" w:eastAsia="仿宋" w:cs="仿宋"/>
          <w:color w:val="000000"/>
          <w:sz w:val="24"/>
          <w:szCs w:val="24"/>
          <w:lang w:val="en-US" w:eastAsia="zh-CN" w:bidi="ar-SA"/>
        </w:rPr>
        <w:t>1</w:t>
      </w:r>
      <w:r>
        <w:rPr>
          <w:rFonts w:hint="default" w:ascii="仿宋" w:hAnsi="仿宋" w:eastAsia="仿宋" w:cs="仿宋"/>
          <w:color w:val="000000"/>
          <w:sz w:val="24"/>
          <w:szCs w:val="24"/>
          <w:lang w:val="en-US" w:eastAsia="zh-CN" w:bidi="ar-SA"/>
        </w:rPr>
        <w:t>．</w:t>
      </w:r>
      <w:r>
        <w:rPr>
          <w:rFonts w:hint="eastAsia" w:ascii="Times New Roman" w:hAnsi="Times New Roman" w:eastAsia="仿宋" w:cs="仿宋"/>
          <w:color w:val="000000"/>
          <w:sz w:val="24"/>
          <w:szCs w:val="24"/>
          <w:highlight w:val="none"/>
        </w:rPr>
        <w:t>本合同争议解决条款与通知送达条款均为独立条款，不受本合同整体或其他条款效力的影响。</w:t>
      </w:r>
    </w:p>
    <w:p w14:paraId="46CC5868">
      <w:pPr>
        <w:keepNext w:val="0"/>
        <w:keepLines w:val="0"/>
        <w:pageBreakBefore w:val="0"/>
        <w:numPr>
          <w:ilvl w:val="0"/>
          <w:numId w:val="0"/>
        </w:numPr>
        <w:kinsoku/>
        <w:wordWrap/>
        <w:overflowPunct/>
        <w:topLinePunct w:val="0"/>
        <w:bidi w:val="0"/>
        <w:adjustRightInd/>
        <w:snapToGrid/>
        <w:spacing w:line="520" w:lineRule="exact"/>
        <w:ind w:left="0" w:leftChars="0" w:firstLine="480" w:firstLineChars="200"/>
        <w:textAlignment w:val="auto"/>
        <w:rPr>
          <w:rFonts w:ascii="Times New Roman" w:hAnsi="Times New Roman" w:eastAsia="仿宋" w:cs="仿宋"/>
          <w:color w:val="000000"/>
          <w:sz w:val="24"/>
          <w:szCs w:val="24"/>
          <w:highlight w:val="none"/>
        </w:rPr>
      </w:pPr>
      <w:r>
        <w:rPr>
          <w:rFonts w:hint="eastAsia" w:ascii="仿宋" w:hAnsi="仿宋" w:eastAsia="仿宋" w:cs="仿宋"/>
          <w:color w:val="000000"/>
          <w:sz w:val="24"/>
          <w:szCs w:val="24"/>
          <w:lang w:val="en-US" w:eastAsia="zh-CN" w:bidi="ar-SA"/>
        </w:rPr>
        <w:t>2</w:t>
      </w:r>
      <w:r>
        <w:rPr>
          <w:rFonts w:hint="default" w:ascii="仿宋" w:hAnsi="仿宋" w:eastAsia="仿宋" w:cs="仿宋"/>
          <w:color w:val="000000"/>
          <w:sz w:val="24"/>
          <w:szCs w:val="24"/>
          <w:lang w:val="en-US" w:eastAsia="zh-CN" w:bidi="ar-SA"/>
        </w:rPr>
        <w:t>．</w:t>
      </w:r>
      <w:r>
        <w:rPr>
          <w:rFonts w:hint="eastAsia" w:ascii="Times New Roman" w:hAnsi="Times New Roman" w:eastAsia="仿宋" w:cs="仿宋"/>
          <w:color w:val="000000"/>
          <w:sz w:val="24"/>
          <w:szCs w:val="24"/>
          <w:highlight w:val="none"/>
        </w:rPr>
        <w:t>任何一方未经另一方书面同意，不得将本合同的部分或全部权利或义务转让给第三方。</w:t>
      </w:r>
    </w:p>
    <w:p w14:paraId="11185557">
      <w:pPr>
        <w:keepNext w:val="0"/>
        <w:keepLines w:val="0"/>
        <w:pageBreakBefore w:val="0"/>
        <w:numPr>
          <w:ilvl w:val="0"/>
          <w:numId w:val="0"/>
        </w:numPr>
        <w:kinsoku/>
        <w:wordWrap/>
        <w:overflowPunct/>
        <w:topLinePunct w:val="0"/>
        <w:bidi w:val="0"/>
        <w:adjustRightInd/>
        <w:snapToGrid/>
        <w:spacing w:line="520" w:lineRule="exact"/>
        <w:ind w:left="0" w:leftChars="0" w:firstLine="480" w:firstLineChars="200"/>
        <w:textAlignment w:val="auto"/>
        <w:rPr>
          <w:rFonts w:ascii="Times New Roman" w:hAnsi="Times New Roman" w:eastAsia="仿宋" w:cs="仿宋"/>
          <w:color w:val="000000"/>
          <w:sz w:val="24"/>
          <w:szCs w:val="24"/>
          <w:highlight w:val="none"/>
        </w:rPr>
      </w:pPr>
      <w:r>
        <w:rPr>
          <w:rFonts w:hint="eastAsia" w:ascii="仿宋" w:hAnsi="仿宋" w:eastAsia="仿宋" w:cs="仿宋"/>
          <w:color w:val="000000"/>
          <w:sz w:val="24"/>
          <w:szCs w:val="24"/>
          <w:lang w:val="en-US" w:eastAsia="zh-CN" w:bidi="ar-SA"/>
        </w:rPr>
        <w:t>3</w:t>
      </w:r>
      <w:r>
        <w:rPr>
          <w:rFonts w:hint="default" w:ascii="仿宋" w:hAnsi="仿宋" w:eastAsia="仿宋" w:cs="仿宋"/>
          <w:color w:val="000000"/>
          <w:sz w:val="24"/>
          <w:szCs w:val="24"/>
          <w:lang w:val="en-US" w:eastAsia="zh-CN" w:bidi="ar-SA"/>
        </w:rPr>
        <w:t>．</w:t>
      </w:r>
      <w:r>
        <w:rPr>
          <w:rFonts w:hint="eastAsia" w:ascii="Times New Roman" w:hAnsi="Times New Roman" w:eastAsia="仿宋" w:cs="仿宋"/>
          <w:color w:val="000000"/>
          <w:sz w:val="24"/>
          <w:szCs w:val="24"/>
          <w:highlight w:val="none"/>
        </w:rPr>
        <w:t>双方约定，本合同涉及的相关内容不明确或表达不够明晰的部分将按照双方协商确认的项目方案及相关文件所指定内容执行。</w:t>
      </w:r>
    </w:p>
    <w:p w14:paraId="6F932FDB">
      <w:pPr>
        <w:keepNext w:val="0"/>
        <w:keepLines w:val="0"/>
        <w:pageBreakBefore w:val="0"/>
        <w:numPr>
          <w:ilvl w:val="0"/>
          <w:numId w:val="0"/>
        </w:numPr>
        <w:kinsoku/>
        <w:wordWrap/>
        <w:overflowPunct/>
        <w:topLinePunct w:val="0"/>
        <w:bidi w:val="0"/>
        <w:adjustRightInd/>
        <w:snapToGrid/>
        <w:spacing w:line="520" w:lineRule="exact"/>
        <w:ind w:left="0" w:leftChars="0" w:firstLine="480" w:firstLineChars="200"/>
        <w:textAlignment w:val="auto"/>
        <w:rPr>
          <w:rFonts w:ascii="Times New Roman" w:hAnsi="Times New Roman" w:eastAsia="仿宋" w:cs="仿宋"/>
          <w:sz w:val="24"/>
          <w:szCs w:val="24"/>
          <w:highlight w:val="none"/>
        </w:rPr>
      </w:pPr>
      <w:r>
        <w:rPr>
          <w:rFonts w:hint="eastAsia" w:ascii="仿宋" w:hAnsi="仿宋" w:eastAsia="仿宋" w:cs="仿宋"/>
          <w:sz w:val="24"/>
          <w:szCs w:val="24"/>
          <w:lang w:val="en-US" w:eastAsia="zh-CN" w:bidi="ar-SA"/>
        </w:rPr>
        <w:t>4</w:t>
      </w:r>
      <w:r>
        <w:rPr>
          <w:rFonts w:hint="default" w:ascii="仿宋" w:hAnsi="仿宋" w:eastAsia="仿宋" w:cs="仿宋"/>
          <w:sz w:val="24"/>
          <w:szCs w:val="24"/>
          <w:lang w:val="en-US" w:eastAsia="zh-CN" w:bidi="ar-SA"/>
        </w:rPr>
        <w:t>．</w:t>
      </w:r>
      <w:r>
        <w:rPr>
          <w:rFonts w:hint="eastAsia" w:ascii="Times New Roman" w:hAnsi="Times New Roman" w:eastAsia="仿宋" w:cs="仿宋"/>
          <w:color w:val="000000"/>
          <w:sz w:val="24"/>
          <w:szCs w:val="24"/>
          <w:highlight w:val="none"/>
        </w:rPr>
        <w:t>本合同经双方签订后起生效。一式肆份，双方各执贰份，均具有同等法律效力。</w:t>
      </w:r>
    </w:p>
    <w:p w14:paraId="39658E3C">
      <w:pPr>
        <w:keepNext w:val="0"/>
        <w:keepLines w:val="0"/>
        <w:pageBreakBefore w:val="0"/>
        <w:kinsoku/>
        <w:wordWrap/>
        <w:overflowPunct/>
        <w:topLinePunct w:val="0"/>
        <w:autoSpaceDE/>
        <w:autoSpaceDN/>
        <w:bidi w:val="0"/>
        <w:adjustRightInd/>
        <w:snapToGrid/>
        <w:spacing w:line="520" w:lineRule="exact"/>
        <w:ind w:left="0" w:firstLine="480" w:firstLineChars="200"/>
        <w:textAlignment w:val="auto"/>
        <w:rPr>
          <w:rFonts w:hint="eastAsia" w:ascii="Times New Roman" w:hAnsi="Times New Roman" w:eastAsia="仿宋" w:cs="仿宋"/>
          <w:color w:val="000000"/>
          <w:sz w:val="24"/>
          <w:szCs w:val="24"/>
          <w:highlight w:val="none"/>
          <w:lang w:eastAsia="zh-CN"/>
        </w:rPr>
      </w:pPr>
      <w:r>
        <w:rPr>
          <w:rFonts w:hint="eastAsia" w:ascii="Times New Roman" w:hAnsi="Times New Roman" w:eastAsia="仿宋" w:cs="仿宋"/>
          <w:color w:val="000000"/>
          <w:sz w:val="24"/>
          <w:szCs w:val="24"/>
          <w:highlight w:val="none"/>
          <w:lang w:eastAsia="zh-CN"/>
        </w:rPr>
        <w:t>（</w:t>
      </w:r>
      <w:r>
        <w:rPr>
          <w:rFonts w:hint="eastAsia" w:ascii="Times New Roman" w:hAnsi="Times New Roman" w:eastAsia="仿宋" w:cs="仿宋"/>
          <w:color w:val="000000"/>
          <w:sz w:val="24"/>
          <w:szCs w:val="24"/>
          <w:highlight w:val="none"/>
          <w:lang w:val="en-US" w:eastAsia="zh-CN"/>
        </w:rPr>
        <w:t>以下无正文</w:t>
      </w:r>
      <w:r>
        <w:rPr>
          <w:rFonts w:hint="eastAsia" w:ascii="Times New Roman" w:hAnsi="Times New Roman" w:eastAsia="仿宋" w:cs="仿宋"/>
          <w:color w:val="000000"/>
          <w:sz w:val="24"/>
          <w:szCs w:val="24"/>
          <w:highlight w:val="none"/>
          <w:lang w:eastAsia="zh-CN"/>
        </w:rPr>
        <w:t>）</w:t>
      </w:r>
    </w:p>
    <w:p w14:paraId="0F8F9B29">
      <w:pPr>
        <w:spacing w:line="360" w:lineRule="auto"/>
        <w:rPr>
          <w:rFonts w:hint="eastAsia" w:ascii="Times New Roman" w:hAnsi="Times New Roman" w:eastAsia="仿宋" w:cs="仿宋"/>
        </w:rPr>
      </w:pPr>
    </w:p>
    <w:p w14:paraId="00CEB6D8">
      <w:pPr>
        <w:spacing w:line="360" w:lineRule="auto"/>
        <w:rPr>
          <w:rFonts w:hint="eastAsia" w:ascii="Times New Roman" w:hAnsi="Times New Roman" w:eastAsia="仿宋" w:cs="仿宋"/>
          <w:color w:val="000000"/>
        </w:rPr>
      </w:pPr>
      <w:r>
        <w:rPr>
          <w:rFonts w:hint="eastAsia" w:ascii="Times New Roman" w:hAnsi="Times New Roman" w:eastAsia="仿宋" w:cs="仿宋"/>
          <w:color w:val="000000"/>
        </w:rPr>
        <w:t>甲方：福建省能源石化信息科技有限责任公司 （盖公章）</w:t>
      </w:r>
    </w:p>
    <w:p w14:paraId="627A38EA">
      <w:pPr>
        <w:spacing w:line="360" w:lineRule="auto"/>
        <w:ind w:firstLine="636"/>
        <w:rPr>
          <w:rFonts w:hint="eastAsia" w:ascii="Times New Roman" w:hAnsi="Times New Roman" w:eastAsia="仿宋" w:cs="仿宋"/>
          <w:color w:val="000000"/>
        </w:rPr>
      </w:pPr>
    </w:p>
    <w:p w14:paraId="7B503B33">
      <w:pPr>
        <w:spacing w:line="360" w:lineRule="auto"/>
        <w:rPr>
          <w:rFonts w:hint="eastAsia" w:ascii="Times New Roman" w:hAnsi="Times New Roman" w:eastAsia="仿宋" w:cs="仿宋"/>
          <w:color w:val="000000"/>
        </w:rPr>
      </w:pPr>
      <w:r>
        <w:rPr>
          <w:rFonts w:hint="eastAsia" w:ascii="Times New Roman" w:hAnsi="Times New Roman" w:eastAsia="仿宋" w:cs="仿宋"/>
          <w:color w:val="000000"/>
        </w:rPr>
        <w:t>日期：</w:t>
      </w:r>
    </w:p>
    <w:p w14:paraId="3221D8A2">
      <w:pPr>
        <w:spacing w:line="360" w:lineRule="auto"/>
        <w:ind w:firstLine="636"/>
        <w:rPr>
          <w:rFonts w:hint="eastAsia" w:ascii="Times New Roman" w:hAnsi="Times New Roman" w:eastAsia="仿宋" w:cs="仿宋"/>
          <w:color w:val="000000"/>
        </w:rPr>
      </w:pPr>
    </w:p>
    <w:p w14:paraId="62AE038C">
      <w:pPr>
        <w:spacing w:line="360" w:lineRule="auto"/>
        <w:rPr>
          <w:rFonts w:hint="eastAsia" w:ascii="Times New Roman" w:hAnsi="Times New Roman" w:eastAsia="仿宋" w:cs="仿宋"/>
          <w:color w:val="000000"/>
        </w:rPr>
      </w:pPr>
      <w:r>
        <w:rPr>
          <w:rFonts w:hint="eastAsia" w:ascii="Times New Roman" w:hAnsi="Times New Roman" w:eastAsia="仿宋" w:cs="仿宋"/>
          <w:color w:val="000000"/>
        </w:rPr>
        <w:t>乙方：    （盖公章）</w:t>
      </w:r>
    </w:p>
    <w:p w14:paraId="48ED39E6">
      <w:pPr>
        <w:spacing w:line="360" w:lineRule="auto"/>
        <w:ind w:firstLine="636"/>
        <w:rPr>
          <w:rFonts w:hint="eastAsia" w:ascii="Times New Roman" w:hAnsi="Times New Roman" w:eastAsia="仿宋" w:cs="仿宋"/>
          <w:color w:val="000000"/>
        </w:rPr>
      </w:pPr>
    </w:p>
    <w:p w14:paraId="08611C8B">
      <w:pPr>
        <w:pStyle w:val="2"/>
        <w:rPr>
          <w:rFonts w:ascii="Times New Roman" w:hAnsi="Times New Roman" w:eastAsia="仿宋" w:cs="仿宋"/>
          <w:color w:val="000000"/>
        </w:rPr>
      </w:pPr>
      <w:r>
        <w:rPr>
          <w:rFonts w:ascii="Times New Roman" w:hAnsi="Times New Roman" w:eastAsia="仿宋" w:cs="仿宋"/>
          <w:color w:val="000000"/>
        </w:rPr>
        <w:t>日期：</w:t>
      </w:r>
    </w:p>
    <w:p w14:paraId="4CCC50F0">
      <w:pPr>
        <w:rPr>
          <w:rFonts w:ascii="Times New Roman" w:hAnsi="Times New Roman" w:eastAsia="仿宋" w:cs="仿宋"/>
          <w:color w:val="000000"/>
        </w:rPr>
      </w:pPr>
      <w:r>
        <w:rPr>
          <w:rFonts w:ascii="Times New Roman" w:hAnsi="Times New Roman" w:eastAsia="仿宋" w:cs="仿宋"/>
          <w:color w:val="000000"/>
        </w:rPr>
        <w:br w:type="page"/>
      </w:r>
    </w:p>
    <w:p w14:paraId="7E1633EF">
      <w:pPr>
        <w:pStyle w:val="3"/>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附件1：供货清单</w:t>
      </w:r>
    </w:p>
    <w:p w14:paraId="6F807ADD">
      <w:pPr>
        <w:rPr>
          <w:rFonts w:ascii="Times New Roman" w:hAnsi="Times New Roman" w:eastAsia="仿宋" w:cs="仿宋"/>
          <w:color w:val="000000"/>
        </w:rPr>
      </w:pPr>
    </w:p>
    <w:p w14:paraId="6C00F11B">
      <w:pPr>
        <w:rPr>
          <w:rFonts w:ascii="Times New Roman" w:hAnsi="Times New Roman"/>
        </w:rPr>
      </w:pPr>
      <w:r>
        <w:rPr>
          <w:rFonts w:hint="eastAsia" w:ascii="Times New Roman" w:hAnsi="Times New Roman"/>
        </w:rPr>
        <w:br w:type="page"/>
      </w:r>
    </w:p>
    <w:p w14:paraId="28BC29D2">
      <w:pPr>
        <w:pStyle w:val="16"/>
        <w:spacing w:before="0" w:after="0" w:line="560" w:lineRule="exact"/>
        <w:jc w:val="left"/>
        <w:rPr>
          <w:rFonts w:ascii="Times New Roman" w:hAnsi="Times New Roman" w:eastAsia="仿宋"/>
          <w:sz w:val="44"/>
          <w:szCs w:val="44"/>
        </w:rPr>
      </w:pPr>
      <w:bookmarkStart w:id="359" w:name="_Toc1636"/>
      <w:bookmarkStart w:id="360" w:name="_Toc5740"/>
      <w:bookmarkStart w:id="361" w:name="_Toc815"/>
      <w:bookmarkStart w:id="362" w:name="_Toc6753"/>
      <w:bookmarkStart w:id="363" w:name="_Toc27456"/>
      <w:bookmarkStart w:id="364" w:name="_Toc28874"/>
      <w:bookmarkStart w:id="365" w:name="_Toc10946"/>
      <w:bookmarkStart w:id="366" w:name="_Toc17697"/>
      <w:bookmarkStart w:id="367" w:name="_Toc91421118"/>
      <w:bookmarkStart w:id="368" w:name="_Toc7894"/>
      <w:bookmarkStart w:id="369" w:name="_Toc8011"/>
      <w:r>
        <w:rPr>
          <w:rFonts w:hint="eastAsia" w:ascii="Times New Roman" w:hAnsi="Times New Roman" w:eastAsia="仿宋"/>
          <w:sz w:val="44"/>
          <w:szCs w:val="44"/>
        </w:rPr>
        <w:t xml:space="preserve">附件二 </w:t>
      </w:r>
      <w:r>
        <w:rPr>
          <w:rFonts w:ascii="Times New Roman" w:hAnsi="Times New Roman" w:eastAsia="仿宋"/>
          <w:sz w:val="44"/>
          <w:szCs w:val="44"/>
        </w:rPr>
        <w:t xml:space="preserve"> </w:t>
      </w:r>
      <w:r>
        <w:rPr>
          <w:rFonts w:hint="eastAsia" w:ascii="Times New Roman" w:hAnsi="Times New Roman" w:eastAsia="仿宋"/>
          <w:sz w:val="44"/>
          <w:szCs w:val="44"/>
        </w:rPr>
        <w:t>参选文件格式</w:t>
      </w:r>
      <w:bookmarkEnd w:id="351"/>
      <w:bookmarkEnd w:id="359"/>
      <w:bookmarkEnd w:id="360"/>
      <w:bookmarkEnd w:id="361"/>
      <w:bookmarkEnd w:id="362"/>
      <w:bookmarkEnd w:id="363"/>
      <w:bookmarkEnd w:id="364"/>
      <w:bookmarkEnd w:id="365"/>
      <w:bookmarkEnd w:id="366"/>
      <w:bookmarkEnd w:id="367"/>
      <w:bookmarkEnd w:id="368"/>
      <w:bookmarkEnd w:id="369"/>
    </w:p>
    <w:p w14:paraId="65F16641">
      <w:pPr>
        <w:pStyle w:val="14"/>
        <w:rPr>
          <w:rFonts w:ascii="Times New Roman" w:hAnsi="Times New Roman"/>
        </w:rPr>
      </w:pPr>
    </w:p>
    <w:p w14:paraId="70A80AF1">
      <w:pPr>
        <w:spacing w:line="360" w:lineRule="auto"/>
        <w:rPr>
          <w:rFonts w:ascii="Times New Roman" w:hAnsi="Times New Roman"/>
        </w:rPr>
      </w:pPr>
    </w:p>
    <w:p w14:paraId="6143880B">
      <w:pPr>
        <w:spacing w:line="360" w:lineRule="auto"/>
        <w:jc w:val="center"/>
        <w:rPr>
          <w:rFonts w:hint="eastAsia" w:ascii="Times New Roman" w:hAnsi="Times New Roman" w:eastAsia="宋体" w:cs="宋体"/>
          <w:b/>
          <w:sz w:val="52"/>
          <w:szCs w:val="52"/>
          <w:lang w:eastAsia="zh-CN"/>
        </w:rPr>
      </w:pPr>
      <w:r>
        <w:rPr>
          <w:rFonts w:hint="eastAsia" w:ascii="Times New Roman" w:hAnsi="Times New Roman" w:cs="宋体"/>
          <w:b/>
          <w:sz w:val="52"/>
          <w:szCs w:val="52"/>
          <w:lang w:eastAsia="zh-CN"/>
        </w:rPr>
        <w:t>福维新材料会议室系统建设项目</w:t>
      </w:r>
    </w:p>
    <w:p w14:paraId="259CDC93">
      <w:pPr>
        <w:pStyle w:val="23"/>
        <w:rPr>
          <w:rFonts w:ascii="Times New Roman" w:hAnsi="Times New Roman"/>
        </w:rPr>
      </w:pPr>
    </w:p>
    <w:p w14:paraId="0DADDD3D">
      <w:pPr>
        <w:spacing w:line="360" w:lineRule="auto"/>
        <w:jc w:val="center"/>
        <w:rPr>
          <w:rFonts w:ascii="Times New Roman" w:hAnsi="Times New Roman"/>
          <w:b/>
          <w:sz w:val="52"/>
          <w:szCs w:val="52"/>
        </w:rPr>
      </w:pPr>
      <w:r>
        <w:rPr>
          <w:rFonts w:hint="eastAsia" w:ascii="Times New Roman" w:hAnsi="Times New Roman"/>
          <w:b/>
          <w:sz w:val="52"/>
          <w:szCs w:val="52"/>
        </w:rPr>
        <w:t>参  选  文  件</w:t>
      </w:r>
    </w:p>
    <w:p w14:paraId="706E8E18">
      <w:pPr>
        <w:spacing w:line="360" w:lineRule="auto"/>
        <w:jc w:val="center"/>
        <w:rPr>
          <w:rFonts w:ascii="Times New Roman" w:hAnsi="Times New Roman"/>
          <w:b/>
          <w:sz w:val="28"/>
          <w:szCs w:val="28"/>
        </w:rPr>
      </w:pPr>
    </w:p>
    <w:p w14:paraId="7F1FAABF">
      <w:pPr>
        <w:spacing w:line="360" w:lineRule="auto"/>
        <w:rPr>
          <w:rFonts w:ascii="Times New Roman" w:hAnsi="Times New Roman"/>
          <w:b/>
          <w:sz w:val="28"/>
          <w:szCs w:val="28"/>
        </w:rPr>
      </w:pPr>
    </w:p>
    <w:p w14:paraId="0384A0F3">
      <w:pPr>
        <w:spacing w:line="360" w:lineRule="auto"/>
        <w:ind w:firstLine="540" w:firstLineChars="180"/>
        <w:rPr>
          <w:rFonts w:ascii="Times New Roman" w:hAnsi="Times New Roman"/>
          <w:sz w:val="30"/>
          <w:szCs w:val="30"/>
        </w:rPr>
      </w:pPr>
      <w:r>
        <w:rPr>
          <w:rFonts w:hint="eastAsia" w:ascii="Times New Roman" w:hAnsi="Times New Roman"/>
          <w:sz w:val="30"/>
          <w:szCs w:val="30"/>
        </w:rPr>
        <w:t>参选人全称：</w:t>
      </w:r>
      <w:r>
        <w:rPr>
          <w:rFonts w:hint="eastAsia" w:ascii="Times New Roman" w:hAnsi="Times New Roman"/>
          <w:sz w:val="30"/>
          <w:szCs w:val="30"/>
          <w:u w:val="single"/>
        </w:rPr>
        <w:t>　　　　　　　　　　　　　　</w:t>
      </w:r>
      <w:r>
        <w:rPr>
          <w:rFonts w:hint="eastAsia" w:ascii="Times New Roman" w:hAnsi="Times New Roman"/>
          <w:sz w:val="30"/>
          <w:szCs w:val="30"/>
        </w:rPr>
        <w:t>（盖章）</w:t>
      </w:r>
    </w:p>
    <w:p w14:paraId="4AEA8DE2">
      <w:pPr>
        <w:spacing w:line="360" w:lineRule="auto"/>
        <w:ind w:firstLine="540" w:firstLineChars="180"/>
        <w:rPr>
          <w:rFonts w:ascii="Times New Roman" w:hAnsi="Times New Roman"/>
          <w:sz w:val="30"/>
          <w:szCs w:val="30"/>
        </w:rPr>
      </w:pPr>
      <w:r>
        <w:rPr>
          <w:rFonts w:hint="eastAsia" w:ascii="Times New Roman" w:hAnsi="Times New Roman"/>
          <w:sz w:val="30"/>
          <w:szCs w:val="30"/>
        </w:rPr>
        <w:t>法定代表人：</w:t>
      </w:r>
      <w:r>
        <w:rPr>
          <w:rFonts w:hint="eastAsia" w:ascii="Times New Roman" w:hAnsi="Times New Roman"/>
          <w:sz w:val="30"/>
          <w:szCs w:val="30"/>
          <w:u w:val="single"/>
        </w:rPr>
        <w:t>　　　　　　　　　　　　　　</w:t>
      </w:r>
      <w:r>
        <w:rPr>
          <w:rFonts w:hint="eastAsia" w:ascii="Times New Roman" w:hAnsi="Times New Roman"/>
          <w:sz w:val="30"/>
          <w:szCs w:val="30"/>
        </w:rPr>
        <w:t>（签字或盖章）</w:t>
      </w:r>
    </w:p>
    <w:p w14:paraId="67E49EE7">
      <w:pPr>
        <w:spacing w:line="360" w:lineRule="auto"/>
        <w:ind w:firstLine="540" w:firstLineChars="180"/>
        <w:rPr>
          <w:rFonts w:ascii="Times New Roman" w:hAnsi="Times New Roman"/>
          <w:sz w:val="30"/>
          <w:szCs w:val="30"/>
        </w:rPr>
      </w:pPr>
      <w:r>
        <w:rPr>
          <w:rFonts w:hint="eastAsia" w:ascii="Times New Roman" w:hAnsi="Times New Roman"/>
          <w:sz w:val="30"/>
          <w:szCs w:val="30"/>
        </w:rPr>
        <w:t>参选代表：</w:t>
      </w:r>
      <w:r>
        <w:rPr>
          <w:rFonts w:hint="eastAsia" w:ascii="Times New Roman" w:hAnsi="Times New Roman"/>
          <w:sz w:val="30"/>
          <w:szCs w:val="30"/>
          <w:u w:val="single"/>
        </w:rPr>
        <w:t>　　　　　　　　  　　　　　　</w:t>
      </w:r>
      <w:r>
        <w:rPr>
          <w:rFonts w:hint="eastAsia" w:ascii="Times New Roman" w:hAnsi="Times New Roman"/>
          <w:sz w:val="30"/>
          <w:szCs w:val="30"/>
        </w:rPr>
        <w:t>（签字或盖章）</w:t>
      </w:r>
    </w:p>
    <w:p w14:paraId="3D3A0C60">
      <w:pPr>
        <w:spacing w:line="360" w:lineRule="auto"/>
        <w:ind w:firstLine="540" w:firstLineChars="180"/>
        <w:rPr>
          <w:rFonts w:ascii="Times New Roman" w:hAnsi="Times New Roman"/>
          <w:sz w:val="30"/>
          <w:szCs w:val="30"/>
        </w:rPr>
      </w:pPr>
      <w:r>
        <w:rPr>
          <w:rFonts w:hint="eastAsia" w:ascii="Times New Roman" w:hAnsi="Times New Roman"/>
          <w:sz w:val="30"/>
          <w:szCs w:val="30"/>
        </w:rPr>
        <w:t>参选时间：</w:t>
      </w:r>
      <w:r>
        <w:rPr>
          <w:rFonts w:hint="eastAsia" w:ascii="Times New Roman" w:hAnsi="Times New Roman"/>
          <w:sz w:val="30"/>
          <w:szCs w:val="30"/>
          <w:u w:val="single"/>
        </w:rPr>
        <w:t>　　                 　　　　</w:t>
      </w:r>
    </w:p>
    <w:p w14:paraId="2E64249A">
      <w:pPr>
        <w:spacing w:line="360" w:lineRule="auto"/>
        <w:ind w:firstLine="540" w:firstLineChars="180"/>
        <w:rPr>
          <w:rFonts w:ascii="Times New Roman" w:hAnsi="Times New Roman"/>
          <w:sz w:val="30"/>
          <w:szCs w:val="30"/>
        </w:rPr>
      </w:pPr>
      <w:r>
        <w:rPr>
          <w:rFonts w:hint="eastAsia" w:ascii="Times New Roman" w:hAnsi="Times New Roman"/>
          <w:sz w:val="30"/>
          <w:szCs w:val="30"/>
        </w:rPr>
        <w:t>公司地址：</w:t>
      </w:r>
      <w:r>
        <w:rPr>
          <w:rFonts w:hint="eastAsia" w:ascii="Times New Roman" w:hAnsi="Times New Roman"/>
          <w:sz w:val="30"/>
          <w:szCs w:val="30"/>
          <w:u w:val="single"/>
        </w:rPr>
        <w:t>　　　　　　　　　　　　　　　</w:t>
      </w:r>
    </w:p>
    <w:p w14:paraId="4A06914E">
      <w:pPr>
        <w:spacing w:line="360" w:lineRule="auto"/>
        <w:ind w:firstLine="540" w:firstLineChars="180"/>
        <w:rPr>
          <w:rFonts w:ascii="Times New Roman" w:hAnsi="Times New Roman"/>
          <w:sz w:val="30"/>
          <w:szCs w:val="30"/>
          <w:u w:val="single"/>
        </w:rPr>
      </w:pPr>
      <w:r>
        <w:rPr>
          <w:rFonts w:hint="eastAsia" w:ascii="Times New Roman" w:hAnsi="Times New Roman"/>
          <w:sz w:val="30"/>
          <w:szCs w:val="30"/>
        </w:rPr>
        <w:t>联系电话：</w:t>
      </w:r>
      <w:r>
        <w:rPr>
          <w:rFonts w:hint="eastAsia" w:ascii="Times New Roman" w:hAnsi="Times New Roman"/>
          <w:sz w:val="30"/>
          <w:szCs w:val="30"/>
          <w:u w:val="single"/>
        </w:rPr>
        <w:t>　　　　　　　　　　　　　　　</w:t>
      </w:r>
    </w:p>
    <w:p w14:paraId="12FAA816">
      <w:pPr>
        <w:pStyle w:val="9"/>
        <w:spacing w:line="560" w:lineRule="exact"/>
        <w:rPr>
          <w:rFonts w:ascii="Times New Roman" w:hAnsi="Times New Roman"/>
        </w:rPr>
      </w:pPr>
      <w:r>
        <w:rPr>
          <w:rFonts w:ascii="Times New Roman" w:hAnsi="Times New Roman"/>
        </w:rPr>
        <w:br w:type="page"/>
      </w:r>
    </w:p>
    <w:p w14:paraId="30DA8396">
      <w:pPr>
        <w:pStyle w:val="16"/>
        <w:spacing w:before="0" w:after="0" w:line="560" w:lineRule="exact"/>
        <w:jc w:val="left"/>
        <w:rPr>
          <w:rFonts w:ascii="Times New Roman" w:hAnsi="Times New Roman" w:eastAsia="仿宋"/>
          <w:sz w:val="44"/>
          <w:szCs w:val="44"/>
        </w:rPr>
      </w:pPr>
      <w:bookmarkStart w:id="370" w:name="_Toc28431"/>
      <w:bookmarkStart w:id="371" w:name="_Toc21016"/>
      <w:bookmarkStart w:id="372" w:name="_Toc32232"/>
      <w:bookmarkStart w:id="373" w:name="_Toc26144"/>
      <w:bookmarkStart w:id="374" w:name="_Toc6154"/>
      <w:bookmarkStart w:id="375" w:name="_Toc91421119"/>
      <w:bookmarkStart w:id="376" w:name="_Toc4929"/>
      <w:bookmarkStart w:id="377" w:name="_Toc30985"/>
      <w:bookmarkStart w:id="378" w:name="_Toc18757"/>
      <w:bookmarkStart w:id="379" w:name="_Toc29364"/>
      <w:bookmarkStart w:id="380" w:name="_Toc11940"/>
      <w:bookmarkStart w:id="381" w:name="_Toc10798"/>
      <w:r>
        <w:rPr>
          <w:rFonts w:hint="eastAsia" w:ascii="Times New Roman" w:hAnsi="Times New Roman" w:eastAsia="仿宋"/>
          <w:sz w:val="44"/>
          <w:szCs w:val="44"/>
        </w:rPr>
        <w:t>附件</w:t>
      </w:r>
      <w:bookmarkEnd w:id="352"/>
      <w:r>
        <w:rPr>
          <w:rFonts w:hint="eastAsia" w:ascii="Times New Roman" w:hAnsi="Times New Roman" w:eastAsia="仿宋"/>
          <w:sz w:val="44"/>
          <w:szCs w:val="44"/>
        </w:rPr>
        <w:t xml:space="preserve">三 </w:t>
      </w:r>
      <w:r>
        <w:rPr>
          <w:rFonts w:ascii="Times New Roman" w:hAnsi="Times New Roman" w:eastAsia="仿宋"/>
          <w:sz w:val="44"/>
          <w:szCs w:val="44"/>
        </w:rPr>
        <w:t xml:space="preserve"> </w:t>
      </w:r>
      <w:r>
        <w:rPr>
          <w:rFonts w:hint="eastAsia" w:ascii="Times New Roman" w:hAnsi="Times New Roman" w:eastAsia="仿宋"/>
          <w:sz w:val="44"/>
          <w:szCs w:val="44"/>
        </w:rPr>
        <w:t>参选报价单</w:t>
      </w:r>
      <w:bookmarkEnd w:id="370"/>
      <w:bookmarkEnd w:id="371"/>
      <w:bookmarkEnd w:id="372"/>
      <w:bookmarkEnd w:id="373"/>
      <w:bookmarkEnd w:id="374"/>
      <w:bookmarkEnd w:id="375"/>
      <w:bookmarkEnd w:id="376"/>
      <w:bookmarkEnd w:id="377"/>
      <w:bookmarkEnd w:id="378"/>
      <w:bookmarkEnd w:id="379"/>
      <w:bookmarkEnd w:id="380"/>
      <w:bookmarkEnd w:id="381"/>
    </w:p>
    <w:p w14:paraId="13776421">
      <w:pPr>
        <w:pStyle w:val="14"/>
        <w:rPr>
          <w:rFonts w:ascii="Times New Roman" w:hAnsi="Times New Roman"/>
        </w:rPr>
      </w:pPr>
    </w:p>
    <w:p w14:paraId="56CC4191">
      <w:pPr>
        <w:spacing w:line="560" w:lineRule="exact"/>
        <w:jc w:val="center"/>
        <w:rPr>
          <w:rFonts w:ascii="Times New Roman" w:hAnsi="Times New Roman" w:eastAsia="仿宋"/>
          <w:b/>
          <w:sz w:val="44"/>
          <w:szCs w:val="44"/>
        </w:rPr>
      </w:pPr>
      <w:r>
        <w:rPr>
          <w:rFonts w:hint="eastAsia" w:ascii="Times New Roman" w:hAnsi="Times New Roman" w:eastAsia="仿宋"/>
          <w:b/>
          <w:sz w:val="44"/>
          <w:szCs w:val="44"/>
        </w:rPr>
        <w:t>参选报价单</w:t>
      </w:r>
    </w:p>
    <w:tbl>
      <w:tblPr>
        <w:tblStyle w:val="17"/>
        <w:tblW w:w="0" w:type="auto"/>
        <w:jc w:val="center"/>
        <w:tblLayout w:type="fixed"/>
        <w:tblCellMar>
          <w:top w:w="0" w:type="dxa"/>
          <w:left w:w="0" w:type="dxa"/>
          <w:bottom w:w="0" w:type="dxa"/>
          <w:right w:w="0" w:type="dxa"/>
        </w:tblCellMar>
      </w:tblPr>
      <w:tblGrid>
        <w:gridCol w:w="5258"/>
        <w:gridCol w:w="3246"/>
      </w:tblGrid>
      <w:tr w14:paraId="1AD9EE3E">
        <w:tblPrEx>
          <w:tblCellMar>
            <w:top w:w="0" w:type="dxa"/>
            <w:left w:w="0" w:type="dxa"/>
            <w:bottom w:w="0" w:type="dxa"/>
            <w:right w:w="0" w:type="dxa"/>
          </w:tblCellMar>
        </w:tblPrEx>
        <w:trPr>
          <w:trHeight w:val="544" w:hRule="exact"/>
          <w:jc w:val="center"/>
        </w:trPr>
        <w:tc>
          <w:tcPr>
            <w:tcW w:w="5258" w:type="dxa"/>
            <w:tcBorders>
              <w:top w:val="single" w:color="000000" w:sz="4" w:space="0"/>
              <w:left w:val="single" w:color="000000" w:sz="4" w:space="0"/>
              <w:bottom w:val="single" w:color="000000" w:sz="4" w:space="0"/>
              <w:right w:val="single" w:color="000000" w:sz="4" w:space="0"/>
            </w:tcBorders>
            <w:noWrap w:val="0"/>
            <w:vAlign w:val="center"/>
          </w:tcPr>
          <w:p w14:paraId="7D946E46">
            <w:pPr>
              <w:kinsoku w:val="0"/>
              <w:overflowPunct w:val="0"/>
              <w:autoSpaceDE w:val="0"/>
              <w:autoSpaceDN w:val="0"/>
              <w:ind w:left="4"/>
              <w:jc w:val="center"/>
              <w:rPr>
                <w:rFonts w:hint="eastAsia" w:ascii="Times New Roman" w:hAnsi="Times New Roman" w:eastAsia="仿宋" w:cs="仿宋"/>
              </w:rPr>
            </w:pPr>
            <w:r>
              <w:rPr>
                <w:rFonts w:hint="eastAsia" w:ascii="Times New Roman" w:hAnsi="Times New Roman" w:eastAsia="仿宋" w:cs="仿宋"/>
              </w:rPr>
              <w:t>货物(服务）名称</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64645682">
            <w:pPr>
              <w:kinsoku w:val="0"/>
              <w:overflowPunct w:val="0"/>
              <w:autoSpaceDE w:val="0"/>
              <w:autoSpaceDN w:val="0"/>
              <w:jc w:val="center"/>
              <w:rPr>
                <w:rFonts w:ascii="Times New Roman" w:hAnsi="Times New Roman" w:eastAsia="仿宋" w:cs="仿宋"/>
              </w:rPr>
            </w:pPr>
            <w:r>
              <w:rPr>
                <w:rFonts w:hint="eastAsia" w:ascii="Times New Roman" w:hAnsi="Times New Roman" w:eastAsia="仿宋" w:cs="仿宋"/>
              </w:rPr>
              <w:t>设备费用</w:t>
            </w:r>
          </w:p>
        </w:tc>
      </w:tr>
      <w:tr w14:paraId="1575DD79">
        <w:tblPrEx>
          <w:tblCellMar>
            <w:top w:w="0" w:type="dxa"/>
            <w:left w:w="0" w:type="dxa"/>
            <w:bottom w:w="0" w:type="dxa"/>
            <w:right w:w="0" w:type="dxa"/>
          </w:tblCellMar>
        </w:tblPrEx>
        <w:trPr>
          <w:cantSplit/>
          <w:trHeight w:val="443" w:hRule="atLeast"/>
          <w:jc w:val="center"/>
        </w:trPr>
        <w:tc>
          <w:tcPr>
            <w:tcW w:w="5258" w:type="dxa"/>
            <w:tcBorders>
              <w:top w:val="single" w:color="000000" w:sz="4" w:space="0"/>
              <w:left w:val="single" w:color="000000" w:sz="4" w:space="0"/>
              <w:bottom w:val="single" w:color="000000" w:sz="4" w:space="0"/>
              <w:right w:val="single" w:color="000000" w:sz="4" w:space="0"/>
            </w:tcBorders>
            <w:noWrap w:val="0"/>
            <w:vAlign w:val="center"/>
          </w:tcPr>
          <w:p w14:paraId="24A29BC6">
            <w:pPr>
              <w:kinsoku w:val="0"/>
              <w:overflowPunct w:val="0"/>
              <w:autoSpaceDE w:val="0"/>
              <w:autoSpaceDN w:val="0"/>
              <w:spacing w:line="560" w:lineRule="exact"/>
              <w:ind w:left="104"/>
              <w:rPr>
                <w:rFonts w:hint="eastAsia" w:ascii="Times New Roman" w:hAnsi="Times New Roman" w:eastAsia="仿宋" w:cs="仿宋"/>
              </w:rPr>
            </w:pPr>
            <w:r>
              <w:rPr>
                <w:rFonts w:hint="eastAsia" w:ascii="仿宋" w:hAnsi="仿宋" w:eastAsia="仿宋" w:cs="仿宋"/>
                <w:b w:val="0"/>
                <w:bCs/>
                <w:lang w:eastAsia="zh-CN"/>
              </w:rPr>
              <w:t>福维新材料会议室系统建设项目</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3566E0B9">
            <w:pPr>
              <w:pStyle w:val="7"/>
              <w:ind w:firstLine="0"/>
              <w:rPr>
                <w:rFonts w:hint="eastAsia" w:ascii="Times New Roman" w:hAnsi="Times New Roman" w:cs="仿宋"/>
                <w:kern w:val="0"/>
                <w:u w:val="single"/>
              </w:rPr>
            </w:pPr>
            <w:r>
              <w:rPr>
                <w:rFonts w:hint="eastAsia" w:ascii="Times New Roman" w:hAnsi="Times New Roman" w:cs="仿宋"/>
                <w:kern w:val="0"/>
                <w:u w:val="single"/>
              </w:rPr>
              <w:t xml:space="preserve">               </w:t>
            </w:r>
            <w:r>
              <w:rPr>
                <w:rFonts w:hint="eastAsia" w:ascii="Times New Roman" w:hAnsi="Times New Roman" w:cs="仿宋"/>
                <w:kern w:val="0"/>
              </w:rPr>
              <w:t>元（含税）</w:t>
            </w:r>
          </w:p>
        </w:tc>
      </w:tr>
      <w:tr w14:paraId="6D6CA32A">
        <w:tblPrEx>
          <w:tblCellMar>
            <w:top w:w="0" w:type="dxa"/>
            <w:left w:w="0" w:type="dxa"/>
            <w:bottom w:w="0" w:type="dxa"/>
            <w:right w:w="0" w:type="dxa"/>
          </w:tblCellMar>
        </w:tblPrEx>
        <w:trPr>
          <w:cantSplit/>
          <w:trHeight w:val="443" w:hRule="atLeast"/>
          <w:jc w:val="center"/>
        </w:trPr>
        <w:tc>
          <w:tcPr>
            <w:tcW w:w="8504" w:type="dxa"/>
            <w:gridSpan w:val="2"/>
            <w:tcBorders>
              <w:top w:val="single" w:color="000000" w:sz="4" w:space="0"/>
              <w:left w:val="single" w:color="000000" w:sz="4" w:space="0"/>
              <w:bottom w:val="single" w:color="000000" w:sz="4" w:space="0"/>
              <w:right w:val="single" w:color="000000" w:sz="4" w:space="0"/>
            </w:tcBorders>
            <w:noWrap w:val="0"/>
            <w:vAlign w:val="center"/>
          </w:tcPr>
          <w:p w14:paraId="53B6A1D4">
            <w:pPr>
              <w:pStyle w:val="7"/>
              <w:ind w:firstLine="0"/>
              <w:rPr>
                <w:rFonts w:hint="eastAsia" w:ascii="Times New Roman" w:hAnsi="Times New Roman" w:cs="仿宋"/>
                <w:kern w:val="0"/>
              </w:rPr>
            </w:pPr>
            <w:r>
              <w:rPr>
                <w:rFonts w:hint="eastAsia" w:ascii="Times New Roman" w:hAnsi="Times New Roman" w:cs="仿宋"/>
                <w:kern w:val="0"/>
              </w:rPr>
              <w:t>参选报价所涉及的费用包括但不限于咨询、培训、资料费及服务期间所需的人工费、差旅费、食宿费等参选人发生的所有费用。</w:t>
            </w:r>
          </w:p>
        </w:tc>
      </w:tr>
    </w:tbl>
    <w:p w14:paraId="445A652D">
      <w:pPr>
        <w:tabs>
          <w:tab w:val="left" w:pos="7560"/>
        </w:tabs>
        <w:spacing w:line="560" w:lineRule="exact"/>
        <w:rPr>
          <w:rFonts w:ascii="Times New Roman" w:hAnsi="Times New Roman" w:eastAsia="仿宋"/>
          <w:sz w:val="28"/>
          <w:szCs w:val="28"/>
        </w:rPr>
      </w:pPr>
    </w:p>
    <w:p w14:paraId="77E1DC73">
      <w:pPr>
        <w:tabs>
          <w:tab w:val="left" w:pos="7560"/>
        </w:tabs>
        <w:spacing w:line="560" w:lineRule="exact"/>
        <w:rPr>
          <w:rFonts w:ascii="Times New Roman" w:hAnsi="Times New Roman" w:eastAsia="仿宋"/>
          <w:u w:val="single"/>
        </w:rPr>
      </w:pPr>
      <w:r>
        <w:rPr>
          <w:rFonts w:hint="eastAsia" w:ascii="Times New Roman" w:hAnsi="Times New Roman" w:eastAsia="仿宋"/>
        </w:rPr>
        <w:t>参选人（盖章）：</w:t>
      </w:r>
    </w:p>
    <w:p w14:paraId="532660DE">
      <w:pPr>
        <w:tabs>
          <w:tab w:val="left" w:pos="7560"/>
        </w:tabs>
        <w:spacing w:line="560" w:lineRule="exact"/>
        <w:rPr>
          <w:rFonts w:ascii="Times New Roman" w:hAnsi="Times New Roman" w:eastAsia="仿宋"/>
          <w:u w:val="single"/>
        </w:rPr>
      </w:pPr>
      <w:r>
        <w:rPr>
          <w:rFonts w:hint="eastAsia" w:ascii="Times New Roman" w:hAnsi="Times New Roman" w:eastAsia="仿宋"/>
        </w:rPr>
        <w:t>法定代表人/参选代表（签字或盖章）：</w:t>
      </w:r>
    </w:p>
    <w:p w14:paraId="2632C98F">
      <w:pPr>
        <w:spacing w:line="560" w:lineRule="exact"/>
        <w:rPr>
          <w:rFonts w:ascii="Times New Roman" w:hAnsi="Times New Roman" w:eastAsia="仿宋"/>
          <w:u w:val="single"/>
        </w:rPr>
      </w:pPr>
      <w:r>
        <w:rPr>
          <w:rFonts w:hint="eastAsia" w:ascii="Times New Roman" w:hAnsi="Times New Roman" w:eastAsia="仿宋"/>
        </w:rPr>
        <w:t>时  间：</w:t>
      </w:r>
    </w:p>
    <w:p w14:paraId="7A818A5B">
      <w:pPr>
        <w:pStyle w:val="16"/>
        <w:spacing w:before="0" w:after="0" w:line="560" w:lineRule="exact"/>
        <w:jc w:val="left"/>
        <w:rPr>
          <w:rFonts w:ascii="Times New Roman" w:hAnsi="Times New Roman" w:eastAsia="仿宋"/>
          <w:sz w:val="44"/>
          <w:szCs w:val="44"/>
        </w:rPr>
      </w:pPr>
      <w:bookmarkStart w:id="382" w:name="_Toc486321064"/>
      <w:r>
        <w:rPr>
          <w:rFonts w:ascii="Times New Roman" w:hAnsi="Times New Roman" w:eastAsia="仿宋"/>
          <w:sz w:val="44"/>
          <w:szCs w:val="44"/>
        </w:rPr>
        <w:br w:type="page"/>
      </w:r>
      <w:bookmarkStart w:id="383" w:name="_Toc26220"/>
      <w:bookmarkStart w:id="384" w:name="_Toc7504"/>
      <w:bookmarkStart w:id="385" w:name="_Toc23426"/>
      <w:bookmarkStart w:id="386" w:name="_Toc17525"/>
      <w:bookmarkStart w:id="387" w:name="_Toc91421120"/>
      <w:bookmarkStart w:id="388" w:name="_Toc32602"/>
      <w:bookmarkStart w:id="389" w:name="_Toc22642"/>
      <w:bookmarkStart w:id="390" w:name="_Toc21286"/>
      <w:bookmarkStart w:id="391" w:name="_Toc21606"/>
      <w:bookmarkStart w:id="392" w:name="_Toc5843"/>
      <w:bookmarkStart w:id="393" w:name="_Toc7609"/>
      <w:bookmarkStart w:id="394" w:name="_Toc21755"/>
      <w:r>
        <w:rPr>
          <w:rFonts w:hint="eastAsia" w:ascii="Times New Roman" w:hAnsi="Times New Roman" w:eastAsia="仿宋"/>
          <w:sz w:val="44"/>
          <w:szCs w:val="44"/>
        </w:rPr>
        <w:t>附件</w:t>
      </w:r>
      <w:bookmarkEnd w:id="382"/>
      <w:r>
        <w:rPr>
          <w:rFonts w:hint="eastAsia" w:ascii="Times New Roman" w:hAnsi="Times New Roman" w:eastAsia="仿宋"/>
          <w:sz w:val="44"/>
          <w:szCs w:val="44"/>
        </w:rPr>
        <w:t xml:space="preserve">四 </w:t>
      </w:r>
      <w:r>
        <w:rPr>
          <w:rFonts w:ascii="Times New Roman" w:hAnsi="Times New Roman" w:eastAsia="仿宋"/>
          <w:sz w:val="44"/>
          <w:szCs w:val="44"/>
        </w:rPr>
        <w:t xml:space="preserve"> </w:t>
      </w:r>
      <w:r>
        <w:rPr>
          <w:rFonts w:hint="eastAsia" w:ascii="Times New Roman" w:hAnsi="Times New Roman" w:eastAsia="仿宋"/>
          <w:sz w:val="44"/>
          <w:szCs w:val="44"/>
        </w:rPr>
        <w:t>法定代表人授权委托书</w:t>
      </w:r>
      <w:bookmarkEnd w:id="383"/>
      <w:bookmarkEnd w:id="384"/>
      <w:bookmarkEnd w:id="385"/>
      <w:bookmarkEnd w:id="386"/>
      <w:bookmarkEnd w:id="387"/>
      <w:bookmarkEnd w:id="388"/>
      <w:bookmarkEnd w:id="389"/>
      <w:bookmarkEnd w:id="390"/>
      <w:bookmarkEnd w:id="391"/>
      <w:bookmarkEnd w:id="392"/>
      <w:bookmarkEnd w:id="393"/>
      <w:bookmarkEnd w:id="394"/>
    </w:p>
    <w:p w14:paraId="0FE73CB6">
      <w:pPr>
        <w:snapToGrid w:val="0"/>
        <w:spacing w:line="560" w:lineRule="exact"/>
        <w:jc w:val="center"/>
        <w:rPr>
          <w:rFonts w:ascii="Times New Roman" w:hAnsi="Times New Roman"/>
          <w:b/>
          <w:sz w:val="36"/>
          <w:szCs w:val="28"/>
        </w:rPr>
      </w:pPr>
    </w:p>
    <w:p w14:paraId="445A8917">
      <w:pPr>
        <w:snapToGrid w:val="0"/>
        <w:spacing w:line="560" w:lineRule="exact"/>
        <w:jc w:val="center"/>
        <w:rPr>
          <w:rFonts w:ascii="Times New Roman" w:hAnsi="Times New Roman" w:eastAsia="仿宋"/>
          <w:b/>
          <w:sz w:val="44"/>
          <w:szCs w:val="44"/>
        </w:rPr>
      </w:pPr>
      <w:r>
        <w:rPr>
          <w:rFonts w:hint="eastAsia" w:ascii="Times New Roman" w:hAnsi="Times New Roman" w:eastAsia="仿宋"/>
          <w:b/>
          <w:sz w:val="44"/>
          <w:szCs w:val="44"/>
        </w:rPr>
        <w:t>法定代表人授权委托书</w:t>
      </w:r>
    </w:p>
    <w:p w14:paraId="47EF7FA4">
      <w:pPr>
        <w:snapToGrid w:val="0"/>
        <w:spacing w:line="560" w:lineRule="exact"/>
        <w:rPr>
          <w:rFonts w:hint="eastAsia" w:ascii="Times New Roman" w:hAnsi="Times New Roman" w:eastAsia="仿宋"/>
        </w:rPr>
      </w:pPr>
      <w:r>
        <w:rPr>
          <w:rFonts w:hint="eastAsia" w:ascii="Times New Roman" w:hAnsi="Times New Roman" w:eastAsia="仿宋"/>
        </w:rPr>
        <w:t>致：福建省能源石化信息科技有限责任公司</w:t>
      </w:r>
    </w:p>
    <w:p w14:paraId="1797FCC7">
      <w:pPr>
        <w:snapToGrid w:val="0"/>
        <w:spacing w:line="560" w:lineRule="exact"/>
        <w:jc w:val="both"/>
        <w:rPr>
          <w:rFonts w:ascii="Times New Roman" w:hAnsi="Times New Roman" w:eastAsia="仿宋"/>
        </w:rPr>
      </w:pPr>
      <w:r>
        <w:rPr>
          <w:rFonts w:hint="eastAsia" w:ascii="Times New Roman" w:hAnsi="Times New Roman" w:eastAsia="仿宋"/>
        </w:rPr>
        <w:t>本授权书声明:注册于       (公司住所)的      （公司名称)的法定代表人        (法定代表人姓名)代表本公司授权   （代理人的姓名）为公司的参选代表，参加</w:t>
      </w:r>
      <w:r>
        <w:rPr>
          <w:rFonts w:hint="eastAsia" w:ascii="Times New Roman" w:hAnsi="Times New Roman" w:eastAsia="仿宋" w:cs="宋体"/>
          <w:lang w:eastAsia="zh-CN"/>
        </w:rPr>
        <w:t>福维新材料会议室系统建设项目</w:t>
      </w:r>
      <w:r>
        <w:rPr>
          <w:rFonts w:hint="eastAsia" w:ascii="Times New Roman" w:hAnsi="Times New Roman" w:eastAsia="仿宋"/>
        </w:rPr>
        <w:t>的比选，包括但不限于申请登记、比选竞价、签订合同等，并以本公司名义处理一切与之有关的事务，与之相关的的一切责任，均由本公司承担。</w:t>
      </w:r>
    </w:p>
    <w:p w14:paraId="1C827B16">
      <w:pPr>
        <w:snapToGrid w:val="0"/>
        <w:spacing w:line="560" w:lineRule="exact"/>
        <w:rPr>
          <w:rFonts w:ascii="Times New Roman" w:hAnsi="Times New Roman" w:eastAsia="仿宋"/>
        </w:rPr>
      </w:pPr>
    </w:p>
    <w:p w14:paraId="64B2828E">
      <w:pPr>
        <w:snapToGrid w:val="0"/>
        <w:spacing w:line="560" w:lineRule="exact"/>
        <w:rPr>
          <w:rFonts w:ascii="Times New Roman" w:hAnsi="Times New Roman" w:eastAsia="仿宋"/>
        </w:rPr>
      </w:pPr>
      <w:r>
        <w:rPr>
          <w:rFonts w:hint="eastAsia" w:ascii="Times New Roman" w:hAnsi="Times New Roman" w:eastAsia="仿宋"/>
        </w:rPr>
        <w:t>本授权书于    年    月    日签字生效，特此声明。</w:t>
      </w:r>
    </w:p>
    <w:p w14:paraId="652BF6EE">
      <w:pPr>
        <w:snapToGrid w:val="0"/>
        <w:spacing w:line="560" w:lineRule="exact"/>
        <w:rPr>
          <w:rFonts w:ascii="Times New Roman" w:hAnsi="Times New Roman" w:eastAsia="仿宋"/>
        </w:rPr>
      </w:pPr>
      <w:r>
        <w:rPr>
          <w:rFonts w:hint="eastAsia" w:ascii="Times New Roman" w:hAnsi="Times New Roman" w:eastAsia="仿宋"/>
        </w:rPr>
        <w:t xml:space="preserve">参选人（盖章）：                               </w:t>
      </w:r>
    </w:p>
    <w:p w14:paraId="585D194C">
      <w:pPr>
        <w:snapToGrid w:val="0"/>
        <w:spacing w:line="560" w:lineRule="exact"/>
        <w:rPr>
          <w:rFonts w:ascii="Times New Roman" w:hAnsi="Times New Roman" w:eastAsia="仿宋"/>
        </w:rPr>
      </w:pPr>
      <w:r>
        <w:rPr>
          <w:rFonts w:hint="eastAsia" w:ascii="Times New Roman" w:hAnsi="Times New Roman" w:eastAsia="仿宋"/>
        </w:rPr>
        <w:t xml:space="preserve">法定代表人（签字或盖章）：                               </w:t>
      </w:r>
    </w:p>
    <w:p w14:paraId="688A6107">
      <w:pPr>
        <w:snapToGrid w:val="0"/>
        <w:spacing w:line="560" w:lineRule="exact"/>
        <w:rPr>
          <w:rFonts w:ascii="Times New Roman" w:hAnsi="Times New Roman" w:eastAsia="仿宋"/>
        </w:rPr>
      </w:pPr>
      <w:r>
        <w:rPr>
          <w:rFonts w:hint="eastAsia" w:ascii="Times New Roman" w:hAnsi="Times New Roman" w:eastAsia="仿宋"/>
        </w:rPr>
        <w:t xml:space="preserve">法定代表人身份证号码：                             </w:t>
      </w:r>
    </w:p>
    <w:p w14:paraId="0BDEF64D">
      <w:pPr>
        <w:snapToGrid w:val="0"/>
        <w:spacing w:line="560" w:lineRule="exact"/>
        <w:rPr>
          <w:rFonts w:ascii="Times New Roman" w:hAnsi="Times New Roman" w:eastAsia="仿宋"/>
        </w:rPr>
      </w:pPr>
      <w:r>
        <w:rPr>
          <w:rFonts w:hint="eastAsia" w:ascii="Times New Roman" w:hAnsi="Times New Roman" w:eastAsia="仿宋"/>
        </w:rPr>
        <w:t xml:space="preserve">参选代表姓名：        性别：    职务：      </w:t>
      </w:r>
    </w:p>
    <w:p w14:paraId="687F6E29">
      <w:pPr>
        <w:snapToGrid w:val="0"/>
        <w:spacing w:line="560" w:lineRule="exact"/>
        <w:rPr>
          <w:rFonts w:ascii="Times New Roman" w:hAnsi="Times New Roman" w:eastAsia="仿宋"/>
        </w:rPr>
      </w:pPr>
      <w:r>
        <w:rPr>
          <w:rFonts w:hint="eastAsia" w:ascii="Times New Roman" w:hAnsi="Times New Roman" w:eastAsia="仿宋"/>
        </w:rPr>
        <w:t xml:space="preserve">身份证号码：                                        </w:t>
      </w:r>
    </w:p>
    <w:p w14:paraId="54B6CE85">
      <w:pPr>
        <w:snapToGrid w:val="0"/>
        <w:spacing w:line="560" w:lineRule="exact"/>
        <w:rPr>
          <w:rFonts w:ascii="Times New Roman" w:hAnsi="Times New Roman" w:eastAsia="仿宋"/>
        </w:rPr>
      </w:pPr>
      <w:r>
        <w:rPr>
          <w:rFonts w:hint="eastAsia" w:ascii="Times New Roman" w:hAnsi="Times New Roman" w:eastAsia="仿宋"/>
        </w:rPr>
        <w:t xml:space="preserve">联系方式：  </w:t>
      </w:r>
    </w:p>
    <w:p w14:paraId="2FCECACE">
      <w:pPr>
        <w:pStyle w:val="16"/>
        <w:spacing w:before="0" w:after="0" w:line="560" w:lineRule="exact"/>
        <w:jc w:val="left"/>
        <w:rPr>
          <w:rFonts w:ascii="Times New Roman" w:hAnsi="Times New Roman" w:eastAsia="仿宋"/>
          <w:sz w:val="52"/>
          <w:szCs w:val="52"/>
        </w:rPr>
      </w:pPr>
      <w:bookmarkStart w:id="395" w:name="_Toc486321065"/>
      <w:r>
        <w:rPr>
          <w:rFonts w:ascii="Times New Roman" w:hAnsi="Times New Roman"/>
        </w:rPr>
        <w:br w:type="page"/>
      </w:r>
      <w:bookmarkStart w:id="396" w:name="_Toc5761"/>
      <w:bookmarkStart w:id="397" w:name="_Toc17385"/>
      <w:bookmarkStart w:id="398" w:name="_Toc30102"/>
      <w:bookmarkStart w:id="399" w:name="_Toc28652"/>
      <w:bookmarkStart w:id="400" w:name="_Toc9076"/>
      <w:bookmarkStart w:id="401" w:name="_Toc32454"/>
      <w:bookmarkStart w:id="402" w:name="_Toc2192"/>
      <w:bookmarkStart w:id="403" w:name="_Toc25346"/>
      <w:bookmarkStart w:id="404" w:name="_Toc25423"/>
      <w:bookmarkStart w:id="405" w:name="_Toc91421121"/>
      <w:bookmarkStart w:id="406" w:name="_Toc23124"/>
      <w:bookmarkStart w:id="407" w:name="_Toc12239"/>
      <w:r>
        <w:rPr>
          <w:rFonts w:hint="eastAsia" w:ascii="Times New Roman" w:hAnsi="Times New Roman" w:eastAsia="仿宋"/>
          <w:sz w:val="44"/>
          <w:szCs w:val="44"/>
        </w:rPr>
        <w:t>附件</w:t>
      </w:r>
      <w:bookmarkEnd w:id="395"/>
      <w:r>
        <w:rPr>
          <w:rFonts w:hint="eastAsia" w:ascii="Times New Roman" w:hAnsi="Times New Roman" w:eastAsia="仿宋"/>
          <w:sz w:val="44"/>
          <w:szCs w:val="44"/>
        </w:rPr>
        <w:t>五  承诺函</w:t>
      </w:r>
      <w:bookmarkEnd w:id="396"/>
      <w:bookmarkEnd w:id="397"/>
      <w:bookmarkEnd w:id="398"/>
      <w:bookmarkEnd w:id="399"/>
      <w:bookmarkEnd w:id="400"/>
      <w:bookmarkEnd w:id="401"/>
      <w:bookmarkEnd w:id="402"/>
      <w:bookmarkEnd w:id="403"/>
      <w:bookmarkEnd w:id="404"/>
      <w:bookmarkEnd w:id="405"/>
      <w:bookmarkEnd w:id="406"/>
      <w:bookmarkEnd w:id="407"/>
    </w:p>
    <w:p w14:paraId="4508D59C">
      <w:pPr>
        <w:snapToGrid w:val="0"/>
        <w:spacing w:line="560" w:lineRule="exact"/>
        <w:jc w:val="center"/>
        <w:rPr>
          <w:rFonts w:ascii="Times New Roman" w:hAnsi="Times New Roman" w:eastAsia="仿宋"/>
          <w:b/>
          <w:sz w:val="44"/>
          <w:szCs w:val="44"/>
        </w:rPr>
      </w:pPr>
      <w:r>
        <w:rPr>
          <w:rFonts w:hint="eastAsia" w:ascii="Times New Roman" w:hAnsi="Times New Roman" w:eastAsia="仿宋"/>
          <w:b/>
          <w:sz w:val="44"/>
          <w:szCs w:val="44"/>
        </w:rPr>
        <w:t>承诺函</w:t>
      </w:r>
    </w:p>
    <w:p w14:paraId="5A317AC4">
      <w:pPr>
        <w:snapToGrid w:val="0"/>
        <w:spacing w:line="560" w:lineRule="exact"/>
        <w:rPr>
          <w:rFonts w:hint="eastAsia" w:ascii="Times New Roman" w:hAnsi="Times New Roman" w:eastAsia="仿宋"/>
        </w:rPr>
      </w:pPr>
      <w:r>
        <w:rPr>
          <w:rFonts w:hint="eastAsia" w:ascii="Times New Roman" w:hAnsi="Times New Roman" w:eastAsia="仿宋"/>
        </w:rPr>
        <w:t>致：福建省能源石化信息科技有限责任公司</w:t>
      </w:r>
    </w:p>
    <w:p w14:paraId="3B5DC1A5">
      <w:pPr>
        <w:snapToGrid w:val="0"/>
        <w:spacing w:line="560" w:lineRule="exact"/>
        <w:rPr>
          <w:rFonts w:ascii="Times New Roman" w:hAnsi="Times New Roman" w:eastAsia="仿宋"/>
        </w:rPr>
      </w:pPr>
    </w:p>
    <w:p w14:paraId="4A9B4045">
      <w:pPr>
        <w:snapToGrid w:val="0"/>
        <w:spacing w:line="560" w:lineRule="exact"/>
        <w:ind w:firstLine="480" w:firstLineChars="200"/>
        <w:rPr>
          <w:rFonts w:ascii="Times New Roman" w:hAnsi="Times New Roman" w:eastAsia="仿宋"/>
        </w:rPr>
      </w:pPr>
      <w:r>
        <w:rPr>
          <w:rFonts w:hint="eastAsia" w:ascii="Times New Roman" w:hAnsi="Times New Roman" w:eastAsia="仿宋"/>
        </w:rPr>
        <w:t>我方对</w:t>
      </w:r>
      <w:r>
        <w:rPr>
          <w:rFonts w:hint="eastAsia" w:ascii="Times New Roman" w:hAnsi="Times New Roman" w:eastAsia="仿宋" w:cs="宋体"/>
          <w:lang w:eastAsia="zh-CN"/>
        </w:rPr>
        <w:t>福维新材料会议室系统建设项目</w:t>
      </w:r>
      <w:r>
        <w:rPr>
          <w:rFonts w:hint="eastAsia" w:ascii="Times New Roman" w:hAnsi="Times New Roman" w:eastAsia="仿宋"/>
        </w:rPr>
        <w:t>的比选文件表示完全响应，遵照公告的要求，特此确认并承诺：</w:t>
      </w:r>
    </w:p>
    <w:p w14:paraId="338C1B78">
      <w:pPr>
        <w:snapToGrid w:val="0"/>
        <w:spacing w:line="560" w:lineRule="exact"/>
        <w:ind w:firstLine="720" w:firstLineChars="300"/>
        <w:rPr>
          <w:rFonts w:ascii="Times New Roman" w:hAnsi="Times New Roman" w:eastAsia="仿宋"/>
        </w:rPr>
      </w:pPr>
      <w:r>
        <w:rPr>
          <w:rFonts w:hint="eastAsia" w:ascii="Times New Roman" w:hAnsi="Times New Roman" w:eastAsia="仿宋"/>
        </w:rPr>
        <w:t>1. 我方确认，我方已仔细阅读并研究了贵方的公告及其附件，我方完全熟悉其中的要求、条款和条件，并充分了解比选情况。</w:t>
      </w:r>
    </w:p>
    <w:p w14:paraId="5AEFDC69">
      <w:pPr>
        <w:snapToGrid w:val="0"/>
        <w:spacing w:line="560" w:lineRule="exact"/>
        <w:ind w:firstLine="720" w:firstLineChars="300"/>
        <w:rPr>
          <w:rFonts w:ascii="Times New Roman" w:hAnsi="Times New Roman" w:eastAsia="仿宋"/>
        </w:rPr>
      </w:pPr>
      <w:r>
        <w:rPr>
          <w:rFonts w:hint="eastAsia" w:ascii="Times New Roman" w:hAnsi="Times New Roman" w:eastAsia="仿宋"/>
        </w:rPr>
        <w:t>2. 我方确认：我方完全同意比选文件制定的交易规则。接受比选文件中所制定的比选标准。</w:t>
      </w:r>
    </w:p>
    <w:p w14:paraId="7EEBFAAB">
      <w:pPr>
        <w:snapToGrid w:val="0"/>
        <w:spacing w:line="560" w:lineRule="exact"/>
        <w:ind w:firstLine="720" w:firstLineChars="300"/>
        <w:rPr>
          <w:rFonts w:ascii="Times New Roman" w:hAnsi="Times New Roman" w:eastAsia="仿宋"/>
        </w:rPr>
      </w:pPr>
      <w:r>
        <w:rPr>
          <w:rFonts w:hint="eastAsia" w:ascii="Times New Roman" w:hAnsi="Times New Roman" w:eastAsia="仿宋"/>
        </w:rPr>
        <w:t>3. 我方承诺：我方满足比选文件规定的参选要求，所提供的材料均为真实、合法、完整。</w:t>
      </w:r>
    </w:p>
    <w:p w14:paraId="0352F415">
      <w:pPr>
        <w:snapToGrid w:val="0"/>
        <w:spacing w:line="560" w:lineRule="exact"/>
        <w:ind w:firstLine="720" w:firstLineChars="300"/>
        <w:rPr>
          <w:rFonts w:ascii="Times New Roman" w:hAnsi="Times New Roman" w:eastAsia="仿宋"/>
        </w:rPr>
      </w:pPr>
      <w:r>
        <w:rPr>
          <w:rFonts w:hint="eastAsia" w:ascii="Times New Roman" w:hAnsi="Times New Roman" w:eastAsia="仿宋"/>
        </w:rPr>
        <w:t>4. 我方保证：我方确认，我方完全接受比选文件及附件合同的全部条款。自收到该项目中选通知次日起10个工作日内，我方将按贵方要求与相关单位签订服务合同，并在要求的时间内完成服务等。特此承诺。</w:t>
      </w:r>
    </w:p>
    <w:p w14:paraId="0F39C3C9">
      <w:pPr>
        <w:snapToGrid w:val="0"/>
        <w:spacing w:line="560" w:lineRule="exact"/>
        <w:rPr>
          <w:rFonts w:ascii="Times New Roman" w:hAnsi="Times New Roman" w:eastAsia="仿宋"/>
        </w:rPr>
      </w:pPr>
      <w:r>
        <w:rPr>
          <w:rFonts w:hint="eastAsia" w:ascii="Times New Roman" w:hAnsi="Times New Roman" w:eastAsia="仿宋"/>
        </w:rPr>
        <w:t xml:space="preserve">参选人（盖章）：                      </w:t>
      </w:r>
    </w:p>
    <w:p w14:paraId="0C1B1BCB">
      <w:pPr>
        <w:snapToGrid w:val="0"/>
        <w:spacing w:line="560" w:lineRule="exact"/>
        <w:rPr>
          <w:rFonts w:ascii="Times New Roman" w:hAnsi="Times New Roman" w:eastAsia="仿宋"/>
        </w:rPr>
      </w:pPr>
      <w:r>
        <w:rPr>
          <w:rFonts w:hint="eastAsia" w:ascii="Times New Roman" w:hAnsi="Times New Roman" w:eastAsia="仿宋"/>
        </w:rPr>
        <w:t xml:space="preserve">法定代表人或参选代表（签字或盖章）：          </w:t>
      </w:r>
    </w:p>
    <w:p w14:paraId="595DF1AF">
      <w:pPr>
        <w:snapToGrid w:val="0"/>
        <w:spacing w:line="560" w:lineRule="exact"/>
        <w:rPr>
          <w:rFonts w:ascii="Times New Roman" w:hAnsi="Times New Roman" w:eastAsia="仿宋"/>
        </w:rPr>
      </w:pPr>
      <w:r>
        <w:rPr>
          <w:rFonts w:hint="eastAsia" w:ascii="Times New Roman" w:hAnsi="Times New Roman" w:eastAsia="仿宋"/>
        </w:rPr>
        <w:t xml:space="preserve">地  址：                                 </w:t>
      </w:r>
    </w:p>
    <w:p w14:paraId="6E58D7C5">
      <w:pPr>
        <w:snapToGrid w:val="0"/>
        <w:spacing w:line="560" w:lineRule="exact"/>
        <w:rPr>
          <w:rFonts w:ascii="Times New Roman" w:hAnsi="Times New Roman" w:eastAsia="仿宋"/>
        </w:rPr>
      </w:pPr>
      <w:r>
        <w:rPr>
          <w:rFonts w:hint="eastAsia" w:ascii="Times New Roman" w:hAnsi="Times New Roman" w:eastAsia="仿宋"/>
        </w:rPr>
        <w:t xml:space="preserve">联系人：                                 </w:t>
      </w:r>
    </w:p>
    <w:p w14:paraId="4DD9A3F0">
      <w:pPr>
        <w:snapToGrid w:val="0"/>
        <w:spacing w:line="560" w:lineRule="exact"/>
        <w:rPr>
          <w:rFonts w:ascii="Times New Roman" w:hAnsi="Times New Roman" w:eastAsia="仿宋"/>
        </w:rPr>
      </w:pPr>
      <w:r>
        <w:rPr>
          <w:rFonts w:hint="eastAsia" w:ascii="Times New Roman" w:hAnsi="Times New Roman" w:eastAsia="仿宋"/>
        </w:rPr>
        <w:t xml:space="preserve">电  话：                                 </w:t>
      </w:r>
    </w:p>
    <w:p w14:paraId="4A9D8B84">
      <w:pPr>
        <w:snapToGrid w:val="0"/>
        <w:spacing w:line="560" w:lineRule="exact"/>
        <w:rPr>
          <w:rFonts w:ascii="Times New Roman" w:hAnsi="Times New Roman"/>
        </w:rPr>
      </w:pPr>
      <w:r>
        <w:rPr>
          <w:rFonts w:hint="eastAsia" w:ascii="Times New Roman" w:hAnsi="Times New Roman" w:eastAsia="仿宋"/>
        </w:rPr>
        <w:t>年    月    日</w:t>
      </w:r>
      <w:bookmarkEnd w:id="353"/>
    </w:p>
    <w:p w14:paraId="574DF2A9">
      <w:pPr>
        <w:pStyle w:val="23"/>
        <w:rPr>
          <w:rFonts w:ascii="Times New Roman" w:hAnsi="Times New Roman"/>
        </w:rPr>
        <w:sectPr>
          <w:pgSz w:w="11906" w:h="16838"/>
          <w:pgMar w:top="1440" w:right="1800" w:bottom="1440" w:left="1800" w:header="851" w:footer="992" w:gutter="0"/>
          <w:pgNumType w:fmt="decimal"/>
          <w:cols w:space="720" w:num="1"/>
          <w:docGrid w:type="lines" w:linePitch="312" w:charSpace="0"/>
        </w:sectPr>
      </w:pPr>
    </w:p>
    <w:p w14:paraId="03712C25">
      <w:pPr>
        <w:pStyle w:val="16"/>
        <w:spacing w:before="0" w:after="0" w:line="560" w:lineRule="exact"/>
        <w:jc w:val="left"/>
        <w:rPr>
          <w:rFonts w:ascii="Times New Roman" w:hAnsi="Times New Roman" w:eastAsia="仿宋"/>
          <w:sz w:val="44"/>
          <w:szCs w:val="44"/>
        </w:rPr>
      </w:pPr>
      <w:bookmarkStart w:id="408" w:name="_Toc24830"/>
      <w:bookmarkStart w:id="409" w:name="_Toc91421122"/>
      <w:bookmarkStart w:id="410" w:name="_Toc32204"/>
      <w:bookmarkStart w:id="411" w:name="_Toc22944"/>
      <w:bookmarkStart w:id="412" w:name="_Toc22496"/>
      <w:bookmarkStart w:id="413" w:name="_Toc6569"/>
      <w:bookmarkStart w:id="414" w:name="_Toc1846"/>
      <w:bookmarkStart w:id="415" w:name="_Toc27423"/>
      <w:bookmarkStart w:id="416" w:name="_Toc19249"/>
      <w:bookmarkStart w:id="417" w:name="_Toc13696"/>
      <w:bookmarkStart w:id="418" w:name="_Toc25724"/>
      <w:bookmarkStart w:id="419" w:name="_Toc26435"/>
      <w:r>
        <w:rPr>
          <w:rFonts w:hint="eastAsia" w:ascii="Times New Roman" w:hAnsi="Times New Roman" w:eastAsia="仿宋"/>
          <w:sz w:val="44"/>
          <w:szCs w:val="44"/>
        </w:rPr>
        <w:t>附件</w:t>
      </w:r>
      <w:bookmarkEnd w:id="408"/>
      <w:r>
        <w:rPr>
          <w:rFonts w:hint="eastAsia" w:ascii="Times New Roman" w:hAnsi="Times New Roman" w:eastAsia="仿宋"/>
          <w:sz w:val="44"/>
          <w:szCs w:val="44"/>
        </w:rPr>
        <w:t xml:space="preserve">六 </w:t>
      </w:r>
      <w:r>
        <w:rPr>
          <w:rFonts w:ascii="Times New Roman" w:hAnsi="Times New Roman" w:eastAsia="仿宋"/>
          <w:sz w:val="44"/>
          <w:szCs w:val="44"/>
        </w:rPr>
        <w:t xml:space="preserve"> 参选函</w:t>
      </w:r>
      <w:bookmarkEnd w:id="409"/>
      <w:bookmarkEnd w:id="410"/>
      <w:bookmarkEnd w:id="411"/>
      <w:bookmarkEnd w:id="412"/>
      <w:bookmarkEnd w:id="413"/>
      <w:bookmarkEnd w:id="414"/>
      <w:bookmarkEnd w:id="415"/>
      <w:bookmarkEnd w:id="416"/>
      <w:bookmarkEnd w:id="417"/>
      <w:bookmarkEnd w:id="418"/>
      <w:bookmarkEnd w:id="419"/>
    </w:p>
    <w:p w14:paraId="01AB144F">
      <w:pPr>
        <w:snapToGrid w:val="0"/>
        <w:spacing w:line="560" w:lineRule="exact"/>
        <w:jc w:val="center"/>
        <w:rPr>
          <w:rFonts w:ascii="Times New Roman" w:hAnsi="Times New Roman" w:eastAsia="仿宋"/>
          <w:b/>
          <w:sz w:val="44"/>
          <w:szCs w:val="44"/>
        </w:rPr>
      </w:pPr>
      <w:r>
        <w:rPr>
          <w:rFonts w:hint="eastAsia" w:ascii="Times New Roman" w:hAnsi="Times New Roman" w:eastAsia="仿宋"/>
          <w:b/>
          <w:sz w:val="44"/>
          <w:szCs w:val="44"/>
        </w:rPr>
        <w:t>参 选 函</w:t>
      </w:r>
    </w:p>
    <w:p w14:paraId="79326201">
      <w:pPr>
        <w:pStyle w:val="2"/>
        <w:adjustRightInd w:val="0"/>
        <w:snapToGrid w:val="0"/>
        <w:spacing w:line="360" w:lineRule="auto"/>
        <w:rPr>
          <w:rFonts w:hint="default" w:ascii="Times New Roman" w:hAnsi="Times New Roman" w:eastAsia="仿宋" w:cs="宋体"/>
          <w:szCs w:val="24"/>
          <w:u w:val="single"/>
        </w:rPr>
      </w:pPr>
    </w:p>
    <w:p w14:paraId="069EE8A0">
      <w:pPr>
        <w:pStyle w:val="2"/>
        <w:adjustRightInd w:val="0"/>
        <w:snapToGrid w:val="0"/>
        <w:spacing w:line="360" w:lineRule="auto"/>
        <w:rPr>
          <w:rFonts w:hint="default" w:ascii="Times New Roman" w:hAnsi="Times New Roman" w:eastAsia="仿宋" w:cs="宋体"/>
          <w:szCs w:val="24"/>
          <w:u w:val="single"/>
        </w:rPr>
      </w:pPr>
      <w:r>
        <w:rPr>
          <w:rFonts w:ascii="Times New Roman" w:hAnsi="Times New Roman" w:eastAsia="仿宋" w:cs="宋体"/>
          <w:bCs/>
          <w:szCs w:val="24"/>
          <w:u w:val="single"/>
        </w:rPr>
        <w:t>福建省能源石化信息科技有限责任公司：</w:t>
      </w:r>
    </w:p>
    <w:p w14:paraId="0759CBFA">
      <w:pPr>
        <w:spacing w:before="120" w:after="120" w:line="360" w:lineRule="auto"/>
        <w:ind w:firstLine="480" w:firstLineChars="200"/>
        <w:rPr>
          <w:rFonts w:ascii="Times New Roman" w:hAnsi="Times New Roman" w:eastAsia="仿宋"/>
        </w:rPr>
      </w:pPr>
      <w:r>
        <w:rPr>
          <w:rFonts w:hint="eastAsia" w:ascii="Times New Roman" w:hAnsi="Times New Roman" w:eastAsia="仿宋"/>
        </w:rPr>
        <w:t>我方已全面阅读和研究了贵方关于</w:t>
      </w:r>
      <w:r>
        <w:rPr>
          <w:rFonts w:hint="eastAsia" w:ascii="Times New Roman" w:hAnsi="Times New Roman" w:eastAsia="仿宋" w:cs="宋体"/>
          <w:lang w:eastAsia="zh-CN"/>
        </w:rPr>
        <w:t>福维新材料会议室系统建设项目</w:t>
      </w:r>
      <w:r>
        <w:rPr>
          <w:rFonts w:hint="eastAsia" w:ascii="Times New Roman" w:hAnsi="Times New Roman" w:eastAsia="仿宋"/>
        </w:rPr>
        <w:t>自主比选相关文件，已充分理解并掌握了本项目的全部有关情况。同意接受自主比选文件的全部内容和条件，并按此确定参选的要约内容，以本参选函向贵方发包的</w:t>
      </w:r>
      <w:r>
        <w:rPr>
          <w:rFonts w:hint="eastAsia" w:ascii="Times New Roman" w:hAnsi="Times New Roman" w:eastAsia="仿宋"/>
          <w:b w:val="0"/>
          <w:bCs w:val="0"/>
          <w:u w:val="single"/>
        </w:rPr>
        <w:t xml:space="preserve"> </w:t>
      </w:r>
      <w:r>
        <w:rPr>
          <w:rFonts w:hint="eastAsia" w:ascii="仿宋" w:hAnsi="仿宋" w:eastAsia="仿宋" w:cs="仿宋"/>
          <w:b w:val="0"/>
          <w:bCs w:val="0"/>
          <w:u w:val="single"/>
          <w:lang w:eastAsia="zh-CN"/>
        </w:rPr>
        <w:t>福维新材料会议室系统建设项目</w:t>
      </w:r>
      <w:r>
        <w:rPr>
          <w:rFonts w:hint="eastAsia" w:ascii="Times New Roman" w:hAnsi="Times New Roman" w:eastAsia="仿宋"/>
        </w:rPr>
        <w:t>自主比选进行参选。参选报价见参选报价单。</w:t>
      </w:r>
    </w:p>
    <w:p w14:paraId="1F819130">
      <w:pPr>
        <w:snapToGrid w:val="0"/>
        <w:spacing w:line="360" w:lineRule="auto"/>
        <w:ind w:firstLine="480" w:firstLineChars="200"/>
        <w:rPr>
          <w:rFonts w:ascii="Times New Roman" w:hAnsi="Times New Roman" w:eastAsia="仿宋"/>
        </w:rPr>
      </w:pPr>
      <w:r>
        <w:rPr>
          <w:rFonts w:hint="eastAsia" w:ascii="Times New Roman" w:hAnsi="Times New Roman" w:eastAsia="仿宋"/>
        </w:rPr>
        <w:t>我方将严格按照国家法律法规、参选法规及自主比选文件的规定参加比选，并理解贵方不一定接受最低报价的比选，对决选结果也没有解释义务。如由我方中选，在接到贵方发出的中选通知书规定的期限内，按中选通知书、自主比选文件和本参选函的约定与贵方签订合同，履行规定的一切责任和义务。</w:t>
      </w:r>
    </w:p>
    <w:p w14:paraId="519562A5">
      <w:pPr>
        <w:snapToGrid w:val="0"/>
        <w:spacing w:line="360" w:lineRule="auto"/>
        <w:ind w:firstLine="480" w:firstLineChars="200"/>
        <w:rPr>
          <w:rFonts w:hint="eastAsia" w:ascii="Times New Roman" w:hAnsi="Times New Roman" w:eastAsia="仿宋"/>
        </w:rPr>
      </w:pPr>
      <w:r>
        <w:rPr>
          <w:rFonts w:hint="eastAsia" w:ascii="Times New Roman" w:hAnsi="Times New Roman" w:eastAsia="仿宋"/>
        </w:rPr>
        <w:t>本参选函自出具之日起生效，全部条款内容对我方具有约束力。我方在此承诺，所递交的参选文件及有关资料内容完整、真实和准确，且不存在法律法规限制参选的任何情形，知识产权清晰、无纠纷。</w:t>
      </w:r>
    </w:p>
    <w:p w14:paraId="4E92AD63">
      <w:pPr>
        <w:snapToGrid w:val="0"/>
        <w:spacing w:line="360" w:lineRule="auto"/>
        <w:ind w:firstLine="480" w:firstLineChars="200"/>
        <w:rPr>
          <w:rFonts w:ascii="Times New Roman" w:hAnsi="Times New Roman" w:eastAsia="仿宋"/>
        </w:rPr>
      </w:pPr>
      <w:r>
        <w:rPr>
          <w:rFonts w:hint="eastAsia" w:ascii="Times New Roman" w:hAnsi="Times New Roman" w:eastAsia="仿宋"/>
        </w:rPr>
        <w:t>以上所述事项如有虚假，我方愿意承担相应法律责任（包括违约责任）。</w:t>
      </w:r>
    </w:p>
    <w:p w14:paraId="5377456A">
      <w:pPr>
        <w:snapToGrid w:val="0"/>
        <w:spacing w:line="360" w:lineRule="auto"/>
        <w:ind w:firstLine="480" w:firstLineChars="200"/>
        <w:rPr>
          <w:rFonts w:ascii="Times New Roman" w:hAnsi="Times New Roman" w:eastAsia="仿宋"/>
        </w:rPr>
      </w:pPr>
    </w:p>
    <w:p w14:paraId="790508DE">
      <w:pPr>
        <w:snapToGrid w:val="0"/>
        <w:spacing w:line="360" w:lineRule="auto"/>
        <w:rPr>
          <w:rFonts w:ascii="Times New Roman" w:hAnsi="Times New Roman" w:eastAsia="仿宋"/>
        </w:rPr>
      </w:pPr>
      <w:r>
        <w:rPr>
          <w:rFonts w:hint="eastAsia" w:ascii="Times New Roman" w:hAnsi="Times New Roman" w:eastAsia="仿宋"/>
        </w:rPr>
        <w:t>参选人（盖单位章）：           法定代表人(或参选代表)（签字或盖章）：</w:t>
      </w:r>
    </w:p>
    <w:p w14:paraId="2B04CA3F">
      <w:pPr>
        <w:snapToGrid w:val="0"/>
        <w:spacing w:line="360" w:lineRule="auto"/>
        <w:rPr>
          <w:rFonts w:ascii="Times New Roman" w:hAnsi="Times New Roman" w:eastAsia="仿宋"/>
        </w:rPr>
      </w:pPr>
    </w:p>
    <w:p w14:paraId="0F6F7EFB">
      <w:pPr>
        <w:snapToGrid w:val="0"/>
        <w:spacing w:line="360" w:lineRule="auto"/>
        <w:rPr>
          <w:rFonts w:ascii="Times New Roman" w:hAnsi="Times New Roman" w:eastAsia="仿宋"/>
        </w:rPr>
      </w:pPr>
      <w:r>
        <w:rPr>
          <w:rFonts w:hint="eastAsia" w:ascii="Times New Roman" w:hAnsi="Times New Roman" w:eastAsia="仿宋"/>
        </w:rPr>
        <w:t>地址：                         邮编：</w:t>
      </w:r>
    </w:p>
    <w:p w14:paraId="42D21098">
      <w:pPr>
        <w:snapToGrid w:val="0"/>
        <w:spacing w:line="360" w:lineRule="auto"/>
        <w:rPr>
          <w:rFonts w:ascii="Times New Roman" w:hAnsi="Times New Roman" w:eastAsia="仿宋"/>
        </w:rPr>
      </w:pPr>
    </w:p>
    <w:p w14:paraId="3ACDA823">
      <w:pPr>
        <w:snapToGrid w:val="0"/>
        <w:spacing w:line="360" w:lineRule="auto"/>
        <w:rPr>
          <w:rFonts w:ascii="Times New Roman" w:hAnsi="Times New Roman" w:eastAsia="仿宋"/>
        </w:rPr>
      </w:pPr>
      <w:r>
        <w:rPr>
          <w:rFonts w:hint="eastAsia" w:ascii="Times New Roman" w:hAnsi="Times New Roman" w:eastAsia="仿宋"/>
        </w:rPr>
        <w:t>电 话：                        传真：</w:t>
      </w:r>
    </w:p>
    <w:p w14:paraId="228794E4">
      <w:pPr>
        <w:pStyle w:val="24"/>
        <w:adjustRightInd w:val="0"/>
        <w:spacing w:afterLines="0" w:line="360" w:lineRule="auto"/>
        <w:ind w:firstLine="480"/>
        <w:jc w:val="right"/>
        <w:rPr>
          <w:rFonts w:ascii="Times New Roman" w:hAnsi="Times New Roman" w:eastAsia="仿宋" w:cs="宋体"/>
          <w:szCs w:val="24"/>
        </w:rPr>
      </w:pPr>
      <w:r>
        <w:rPr>
          <w:rFonts w:hint="eastAsia" w:ascii="Times New Roman" w:hAnsi="Times New Roman" w:eastAsia="仿宋" w:cs="宋体"/>
          <w:szCs w:val="24"/>
        </w:rPr>
        <w:t xml:space="preserve">                              </w:t>
      </w:r>
    </w:p>
    <w:p w14:paraId="094A4542">
      <w:pPr>
        <w:pStyle w:val="24"/>
        <w:wordWrap w:val="0"/>
        <w:adjustRightInd w:val="0"/>
        <w:spacing w:afterLines="0" w:line="360" w:lineRule="auto"/>
        <w:ind w:firstLine="480"/>
        <w:jc w:val="right"/>
        <w:rPr>
          <w:rFonts w:ascii="Times New Roman" w:hAnsi="Times New Roman" w:eastAsia="仿宋" w:cs="宋体"/>
          <w:szCs w:val="24"/>
        </w:rPr>
      </w:pPr>
      <w:r>
        <w:rPr>
          <w:rFonts w:hint="eastAsia" w:ascii="Times New Roman" w:hAnsi="Times New Roman" w:eastAsia="仿宋" w:cs="宋体"/>
          <w:szCs w:val="24"/>
        </w:rPr>
        <w:t xml:space="preserve">年     月     日      </w:t>
      </w:r>
    </w:p>
    <w:p w14:paraId="1DB63165">
      <w:pPr>
        <w:pStyle w:val="14"/>
        <w:spacing w:after="0" w:line="360" w:lineRule="auto"/>
        <w:rPr>
          <w:rFonts w:ascii="Times New Roman" w:hAnsi="Times New Roman" w:eastAsia="仿宋" w:cs="宋体"/>
          <w:sz w:val="18"/>
          <w:szCs w:val="18"/>
        </w:rPr>
      </w:pPr>
    </w:p>
    <w:p w14:paraId="46133716">
      <w:pPr>
        <w:pStyle w:val="14"/>
        <w:spacing w:after="0" w:line="360" w:lineRule="auto"/>
        <w:ind w:left="360" w:leftChars="150"/>
        <w:rPr>
          <w:rFonts w:ascii="Times New Roman" w:hAnsi="Times New Roman" w:eastAsia="仿宋" w:cs="宋体"/>
          <w:sz w:val="18"/>
          <w:szCs w:val="18"/>
        </w:rPr>
        <w:sectPr>
          <w:pgSz w:w="11906" w:h="16838"/>
          <w:pgMar w:top="1440" w:right="1800" w:bottom="1440" w:left="1800" w:header="851" w:footer="992" w:gutter="0"/>
          <w:pgNumType w:fmt="decimal"/>
          <w:cols w:space="720" w:num="1"/>
          <w:docGrid w:type="lines" w:linePitch="312" w:charSpace="0"/>
        </w:sectPr>
      </w:pPr>
    </w:p>
    <w:p w14:paraId="4BC96BA0">
      <w:pPr>
        <w:pStyle w:val="16"/>
        <w:spacing w:before="0" w:after="0" w:line="560" w:lineRule="exact"/>
        <w:jc w:val="left"/>
        <w:rPr>
          <w:rFonts w:ascii="Times New Roman" w:hAnsi="Times New Roman" w:eastAsia="仿宋"/>
          <w:sz w:val="44"/>
          <w:szCs w:val="44"/>
        </w:rPr>
      </w:pPr>
      <w:bookmarkStart w:id="420" w:name="_Toc14027"/>
      <w:bookmarkStart w:id="421" w:name="_Toc91421125"/>
      <w:bookmarkStart w:id="422" w:name="_Toc30717"/>
      <w:bookmarkStart w:id="423" w:name="_Toc20958"/>
      <w:bookmarkStart w:id="424" w:name="_Toc13147"/>
      <w:bookmarkStart w:id="425" w:name="_Toc2349"/>
      <w:bookmarkStart w:id="426" w:name="_Toc6255"/>
      <w:bookmarkStart w:id="427" w:name="_Toc28646"/>
      <w:bookmarkStart w:id="428" w:name="_Toc7952"/>
      <w:bookmarkStart w:id="429" w:name="_Toc28667"/>
      <w:bookmarkStart w:id="430" w:name="_Toc26209"/>
      <w:bookmarkStart w:id="431" w:name="_Toc13907"/>
      <w:r>
        <w:rPr>
          <w:rFonts w:hint="eastAsia" w:ascii="Times New Roman" w:hAnsi="Times New Roman" w:eastAsia="仿宋"/>
          <w:sz w:val="44"/>
          <w:szCs w:val="44"/>
        </w:rPr>
        <w:t>附件</w:t>
      </w:r>
      <w:bookmarkEnd w:id="420"/>
      <w:r>
        <w:rPr>
          <w:rFonts w:hint="eastAsia" w:ascii="Times New Roman" w:hAnsi="Times New Roman" w:eastAsia="仿宋"/>
          <w:sz w:val="44"/>
          <w:szCs w:val="44"/>
        </w:rPr>
        <w:t xml:space="preserve">七 </w:t>
      </w:r>
      <w:r>
        <w:rPr>
          <w:rFonts w:ascii="Times New Roman" w:hAnsi="Times New Roman" w:eastAsia="仿宋"/>
          <w:sz w:val="44"/>
          <w:szCs w:val="44"/>
        </w:rPr>
        <w:t xml:space="preserve"> </w:t>
      </w:r>
      <w:r>
        <w:rPr>
          <w:rFonts w:hint="eastAsia" w:ascii="Times New Roman" w:hAnsi="Times New Roman" w:eastAsia="仿宋"/>
          <w:sz w:val="44"/>
          <w:szCs w:val="44"/>
        </w:rPr>
        <w:t>资格证明文件</w:t>
      </w:r>
      <w:bookmarkEnd w:id="421"/>
      <w:bookmarkEnd w:id="422"/>
      <w:bookmarkEnd w:id="423"/>
      <w:bookmarkEnd w:id="424"/>
      <w:bookmarkEnd w:id="425"/>
      <w:bookmarkEnd w:id="426"/>
      <w:bookmarkEnd w:id="427"/>
      <w:bookmarkEnd w:id="428"/>
      <w:bookmarkEnd w:id="429"/>
      <w:bookmarkEnd w:id="430"/>
      <w:bookmarkEnd w:id="431"/>
    </w:p>
    <w:p w14:paraId="593F33A8">
      <w:pPr>
        <w:spacing w:line="360" w:lineRule="auto"/>
        <w:ind w:firstLine="435"/>
        <w:jc w:val="center"/>
        <w:rPr>
          <w:rFonts w:ascii="Times New Roman" w:hAnsi="Times New Roman" w:eastAsia="仿宋"/>
          <w:b/>
          <w:sz w:val="36"/>
          <w:szCs w:val="36"/>
        </w:rPr>
      </w:pPr>
    </w:p>
    <w:p w14:paraId="044278F8">
      <w:pPr>
        <w:spacing w:line="360" w:lineRule="auto"/>
        <w:ind w:firstLine="435"/>
        <w:jc w:val="center"/>
        <w:rPr>
          <w:rFonts w:ascii="Times New Roman" w:hAnsi="Times New Roman" w:eastAsia="仿宋"/>
          <w:b/>
          <w:sz w:val="28"/>
          <w:szCs w:val="28"/>
        </w:rPr>
      </w:pPr>
      <w:r>
        <w:rPr>
          <w:rFonts w:hint="eastAsia" w:ascii="Times New Roman" w:hAnsi="Times New Roman" w:eastAsia="仿宋"/>
          <w:b/>
          <w:sz w:val="36"/>
          <w:szCs w:val="36"/>
        </w:rPr>
        <w:t>关于资格的声明函</w:t>
      </w:r>
    </w:p>
    <w:p w14:paraId="31CE079E">
      <w:pPr>
        <w:spacing w:line="360" w:lineRule="auto"/>
        <w:rPr>
          <w:rFonts w:ascii="Times New Roman" w:hAnsi="Times New Roman" w:eastAsia="仿宋"/>
        </w:rPr>
      </w:pPr>
    </w:p>
    <w:p w14:paraId="13556457">
      <w:pPr>
        <w:spacing w:line="360" w:lineRule="auto"/>
        <w:rPr>
          <w:rFonts w:hint="eastAsia" w:ascii="Times New Roman" w:hAnsi="Times New Roman" w:eastAsia="仿宋" w:cs="仿宋"/>
          <w:u w:val="single"/>
        </w:rPr>
      </w:pPr>
      <w:r>
        <w:rPr>
          <w:rFonts w:hint="eastAsia" w:ascii="Times New Roman" w:hAnsi="Times New Roman" w:eastAsia="仿宋" w:cs="仿宋"/>
          <w:u w:val="single"/>
        </w:rPr>
        <w:t>福建省能源石化信息科技有限责任公司：</w:t>
      </w:r>
    </w:p>
    <w:p w14:paraId="4E2188B3">
      <w:pPr>
        <w:spacing w:line="360" w:lineRule="auto"/>
        <w:rPr>
          <w:rFonts w:hint="eastAsia" w:ascii="Times New Roman" w:hAnsi="Times New Roman" w:eastAsia="仿宋" w:cs="仿宋"/>
        </w:rPr>
      </w:pPr>
    </w:p>
    <w:p w14:paraId="01E8859D">
      <w:pPr>
        <w:spacing w:line="360" w:lineRule="auto"/>
        <w:rPr>
          <w:rFonts w:hint="eastAsia" w:ascii="Times New Roman" w:hAnsi="Times New Roman" w:eastAsia="仿宋" w:cs="仿宋"/>
        </w:rPr>
      </w:pPr>
      <w:r>
        <w:rPr>
          <w:rFonts w:hint="eastAsia" w:ascii="Times New Roman" w:hAnsi="Times New Roman" w:eastAsia="仿宋" w:cs="仿宋"/>
        </w:rPr>
        <w:t xml:space="preserve">    关于贵方自主比选邀请，参选人愿意参加</w:t>
      </w:r>
      <w:r>
        <w:rPr>
          <w:rFonts w:hint="eastAsia" w:ascii="仿宋" w:hAnsi="仿宋" w:eastAsia="仿宋" w:cs="仿宋"/>
          <w:b w:val="0"/>
          <w:bCs/>
          <w:u w:val="single"/>
          <w:lang w:eastAsia="zh-CN"/>
        </w:rPr>
        <w:t>福维新材料会议室系统建设项目</w:t>
      </w:r>
      <w:r>
        <w:rPr>
          <w:rFonts w:hint="eastAsia" w:ascii="Times New Roman" w:hAnsi="Times New Roman" w:eastAsia="仿宋" w:cs="仿宋"/>
        </w:rPr>
        <w:t>的比选，并证明提交的所有文件和说明是准确的和真实的。</w:t>
      </w:r>
    </w:p>
    <w:p w14:paraId="504C1942">
      <w:pPr>
        <w:spacing w:line="360" w:lineRule="auto"/>
        <w:ind w:firstLine="480" w:firstLineChars="200"/>
        <w:rPr>
          <w:rFonts w:hint="eastAsia" w:ascii="Times New Roman" w:hAnsi="Times New Roman" w:eastAsia="仿宋" w:cs="仿宋"/>
        </w:rPr>
      </w:pPr>
      <w:r>
        <w:rPr>
          <w:rFonts w:hint="eastAsia" w:ascii="Times New Roman" w:hAnsi="Times New Roman" w:eastAsia="仿宋" w:cs="仿宋"/>
        </w:rPr>
        <w:t>1．由市场监督管理机构签发的我方营业执照副本及复印件（加盖公章）一份以及其他参选资格文件。</w:t>
      </w:r>
    </w:p>
    <w:p w14:paraId="358FDC6C">
      <w:pPr>
        <w:spacing w:line="360" w:lineRule="auto"/>
        <w:ind w:firstLine="480" w:firstLineChars="200"/>
        <w:rPr>
          <w:rFonts w:hint="eastAsia" w:ascii="Times New Roman" w:hAnsi="Times New Roman" w:eastAsia="仿宋" w:cs="仿宋"/>
        </w:rPr>
      </w:pPr>
      <w:r>
        <w:rPr>
          <w:rFonts w:hint="eastAsia" w:ascii="Times New Roman" w:hAnsi="Times New Roman" w:eastAsia="仿宋" w:cs="仿宋"/>
        </w:rPr>
        <w:t>2．参选人确认资格文件中的说明是真实的、准确的。</w:t>
      </w:r>
    </w:p>
    <w:p w14:paraId="013E731D">
      <w:pPr>
        <w:spacing w:line="360" w:lineRule="auto"/>
        <w:rPr>
          <w:rFonts w:ascii="Times New Roman" w:hAnsi="Times New Roman" w:eastAsia="仿宋"/>
          <w:sz w:val="28"/>
          <w:szCs w:val="28"/>
        </w:rPr>
      </w:pPr>
    </w:p>
    <w:p w14:paraId="5473B510">
      <w:pPr>
        <w:spacing w:line="360" w:lineRule="auto"/>
        <w:rPr>
          <w:rFonts w:ascii="Times New Roman" w:hAnsi="Times New Roman" w:eastAsia="仿宋"/>
        </w:rPr>
      </w:pPr>
    </w:p>
    <w:p w14:paraId="722CCD8C">
      <w:pPr>
        <w:spacing w:line="360" w:lineRule="auto"/>
        <w:rPr>
          <w:rFonts w:ascii="Times New Roman" w:hAnsi="Times New Roman" w:eastAsia="仿宋"/>
        </w:rPr>
      </w:pPr>
    </w:p>
    <w:p w14:paraId="5731ECB1">
      <w:pPr>
        <w:spacing w:line="360" w:lineRule="auto"/>
        <w:rPr>
          <w:rFonts w:ascii="Times New Roman" w:hAnsi="Times New Roman" w:eastAsia="仿宋"/>
        </w:rPr>
      </w:pPr>
      <w:r>
        <w:rPr>
          <w:rFonts w:hint="eastAsia" w:ascii="Times New Roman" w:hAnsi="Times New Roman" w:eastAsia="仿宋"/>
        </w:rPr>
        <w:t>参选人名称和地址</w:t>
      </w:r>
      <w:r>
        <w:rPr>
          <w:rFonts w:hint="eastAsia" w:ascii="Times New Roman" w:hAnsi="Times New Roman" w:eastAsia="仿宋"/>
          <w:lang w:val="en-US" w:eastAsia="zh-CN"/>
        </w:rPr>
        <w:t xml:space="preserve"> </w:t>
      </w:r>
      <w:r>
        <w:rPr>
          <w:rFonts w:hint="eastAsia" w:ascii="Times New Roman" w:hAnsi="Times New Roman" w:eastAsia="仿宋"/>
        </w:rPr>
        <w:t>　</w:t>
      </w:r>
      <w:r>
        <w:rPr>
          <w:rFonts w:hint="eastAsia" w:ascii="Times New Roman" w:hAnsi="Times New Roman" w:eastAsia="仿宋"/>
          <w:lang w:val="en-US" w:eastAsia="zh-CN"/>
        </w:rPr>
        <w:t xml:space="preserve">                     </w:t>
      </w:r>
      <w:r>
        <w:rPr>
          <w:rFonts w:hint="eastAsia" w:ascii="Times New Roman" w:hAnsi="Times New Roman" w:eastAsia="仿宋"/>
        </w:rPr>
        <w:t>法定代表人或参选代表</w:t>
      </w:r>
    </w:p>
    <w:p w14:paraId="3195A6EA">
      <w:pPr>
        <w:spacing w:line="360" w:lineRule="auto"/>
        <w:rPr>
          <w:rFonts w:ascii="Times New Roman" w:hAnsi="Times New Roman" w:eastAsia="仿宋"/>
        </w:rPr>
      </w:pPr>
      <w:r>
        <w:rPr>
          <w:rFonts w:hint="eastAsia" w:ascii="Times New Roman" w:hAnsi="Times New Roman" w:eastAsia="仿宋"/>
          <w:lang w:val="en-US" w:eastAsia="zh-CN"/>
        </w:rPr>
        <w:t>参选人</w:t>
      </w:r>
      <w:r>
        <w:rPr>
          <w:rFonts w:hint="eastAsia" w:ascii="Times New Roman" w:hAnsi="Times New Roman" w:eastAsia="仿宋"/>
        </w:rPr>
        <w:t>名称（</w:t>
      </w:r>
      <w:r>
        <w:rPr>
          <w:rFonts w:hint="eastAsia" w:ascii="Times New Roman" w:hAnsi="Times New Roman" w:eastAsia="仿宋"/>
          <w:lang w:val="en-US" w:eastAsia="zh-CN"/>
        </w:rPr>
        <w:t>盖章</w:t>
      </w:r>
      <w:r>
        <w:rPr>
          <w:rFonts w:hint="eastAsia" w:ascii="Times New Roman" w:hAnsi="Times New Roman" w:eastAsia="仿宋"/>
        </w:rPr>
        <w:t>）：</w:t>
      </w:r>
      <w:r>
        <w:rPr>
          <w:rFonts w:hint="eastAsia" w:ascii="Times New Roman" w:hAnsi="Times New Roman" w:eastAsia="仿宋"/>
          <w:u w:val="single"/>
        </w:rPr>
        <w:t>　　　　　　　　　</w:t>
      </w:r>
      <w:r>
        <w:rPr>
          <w:rFonts w:hint="eastAsia" w:ascii="Times New Roman" w:hAnsi="Times New Roman" w:eastAsia="仿宋"/>
          <w:u w:val="single"/>
          <w:lang w:val="en-US" w:eastAsia="zh-CN"/>
        </w:rPr>
        <w:t xml:space="preserve">  </w:t>
      </w:r>
      <w:r>
        <w:rPr>
          <w:rFonts w:hint="eastAsia" w:ascii="Times New Roman" w:hAnsi="Times New Roman" w:eastAsia="仿宋"/>
        </w:rPr>
        <w:t>签字或盖章：</w:t>
      </w:r>
      <w:r>
        <w:rPr>
          <w:rFonts w:hint="eastAsia" w:ascii="Times New Roman" w:hAnsi="Times New Roman" w:eastAsia="仿宋"/>
          <w:u w:val="single"/>
        </w:rPr>
        <w:t>　　　　　　　　</w:t>
      </w:r>
    </w:p>
    <w:p w14:paraId="3F22063D">
      <w:pPr>
        <w:spacing w:line="360" w:lineRule="auto"/>
        <w:rPr>
          <w:rFonts w:hint="default" w:ascii="Times New Roman" w:hAnsi="Times New Roman" w:eastAsia="仿宋"/>
          <w:lang w:val="en-US" w:eastAsia="zh-CN"/>
        </w:rPr>
      </w:pPr>
      <w:r>
        <w:rPr>
          <w:rFonts w:hint="eastAsia" w:ascii="Times New Roman" w:hAnsi="Times New Roman" w:eastAsia="仿宋"/>
        </w:rPr>
        <w:t>地址：</w:t>
      </w:r>
      <w:r>
        <w:rPr>
          <w:rFonts w:hint="eastAsia" w:ascii="Times New Roman" w:hAnsi="Times New Roman" w:eastAsia="仿宋"/>
          <w:u w:val="single"/>
        </w:rPr>
        <w:t>　　　　　　　　　</w:t>
      </w:r>
      <w:r>
        <w:rPr>
          <w:rFonts w:hint="eastAsia" w:ascii="Times New Roman" w:hAnsi="Times New Roman" w:eastAsia="仿宋"/>
        </w:rPr>
        <w:t>　　　　　　　</w:t>
      </w:r>
      <w:r>
        <w:rPr>
          <w:rFonts w:hint="eastAsia" w:ascii="Times New Roman" w:hAnsi="Times New Roman" w:eastAsia="仿宋"/>
          <w:lang w:val="en-US" w:eastAsia="zh-CN"/>
        </w:rPr>
        <w:t xml:space="preserve">  </w:t>
      </w:r>
      <w:r>
        <w:rPr>
          <w:rFonts w:hint="eastAsia" w:ascii="Times New Roman" w:hAnsi="Times New Roman" w:eastAsia="仿宋"/>
        </w:rPr>
        <w:t>签章人姓名：</w:t>
      </w:r>
      <w:r>
        <w:rPr>
          <w:rFonts w:hint="eastAsia" w:ascii="Times New Roman" w:hAnsi="Times New Roman" w:eastAsia="仿宋"/>
          <w:u w:val="single"/>
          <w:lang w:val="en-US" w:eastAsia="zh-CN"/>
        </w:rPr>
        <w:t xml:space="preserve">             </w:t>
      </w:r>
    </w:p>
    <w:p w14:paraId="43915892">
      <w:pPr>
        <w:spacing w:line="360" w:lineRule="auto"/>
        <w:rPr>
          <w:rFonts w:ascii="Times New Roman" w:hAnsi="Times New Roman" w:eastAsia="仿宋"/>
          <w:u w:val="single"/>
        </w:rPr>
      </w:pPr>
      <w:r>
        <w:rPr>
          <w:rFonts w:hint="eastAsia" w:ascii="Times New Roman" w:hAnsi="Times New Roman" w:eastAsia="仿宋"/>
        </w:rPr>
        <w:t>传真：</w:t>
      </w:r>
      <w:r>
        <w:rPr>
          <w:rFonts w:hint="eastAsia" w:ascii="Times New Roman" w:hAnsi="Times New Roman" w:eastAsia="仿宋"/>
          <w:u w:val="single"/>
        </w:rPr>
        <w:t>　　　　　　　　　</w:t>
      </w:r>
      <w:r>
        <w:rPr>
          <w:rFonts w:hint="eastAsia" w:ascii="Times New Roman" w:hAnsi="Times New Roman" w:eastAsia="仿宋"/>
        </w:rPr>
        <w:t>　　　　　　　</w:t>
      </w:r>
      <w:r>
        <w:rPr>
          <w:rFonts w:hint="eastAsia" w:ascii="Times New Roman" w:hAnsi="Times New Roman" w:eastAsia="仿宋"/>
          <w:lang w:val="en-US" w:eastAsia="zh-CN"/>
        </w:rPr>
        <w:t xml:space="preserve">  </w:t>
      </w:r>
      <w:r>
        <w:rPr>
          <w:rFonts w:hint="eastAsia" w:ascii="Times New Roman" w:hAnsi="Times New Roman" w:eastAsia="仿宋"/>
        </w:rPr>
        <w:t>职务：</w:t>
      </w:r>
      <w:r>
        <w:rPr>
          <w:rFonts w:hint="eastAsia" w:ascii="Times New Roman" w:hAnsi="Times New Roman" w:eastAsia="仿宋"/>
          <w:u w:val="single"/>
        </w:rPr>
        <w:t>　　　　　　　　</w:t>
      </w:r>
    </w:p>
    <w:p w14:paraId="02B6B9C3">
      <w:pPr>
        <w:spacing w:line="360" w:lineRule="auto"/>
        <w:rPr>
          <w:rFonts w:ascii="Times New Roman" w:hAnsi="Times New Roman" w:eastAsia="仿宋"/>
          <w:u w:val="single"/>
        </w:rPr>
      </w:pPr>
      <w:r>
        <w:rPr>
          <w:rFonts w:hint="eastAsia" w:ascii="Times New Roman" w:hAnsi="Times New Roman" w:eastAsia="仿宋"/>
        </w:rPr>
        <w:t>邮编：</w:t>
      </w:r>
      <w:r>
        <w:rPr>
          <w:rFonts w:hint="eastAsia" w:ascii="Times New Roman" w:hAnsi="Times New Roman" w:eastAsia="仿宋"/>
          <w:u w:val="single"/>
        </w:rPr>
        <w:t>　　　　　　　　　</w:t>
      </w:r>
      <w:r>
        <w:rPr>
          <w:rFonts w:hint="eastAsia" w:ascii="Times New Roman" w:hAnsi="Times New Roman" w:eastAsia="仿宋"/>
        </w:rPr>
        <w:t>　　　　　　　</w:t>
      </w:r>
      <w:r>
        <w:rPr>
          <w:rFonts w:hint="eastAsia" w:ascii="Times New Roman" w:hAnsi="Times New Roman" w:eastAsia="仿宋"/>
          <w:lang w:val="en-US" w:eastAsia="zh-CN"/>
        </w:rPr>
        <w:t xml:space="preserve">  </w:t>
      </w:r>
      <w:r>
        <w:rPr>
          <w:rFonts w:hint="eastAsia" w:ascii="Times New Roman" w:hAnsi="Times New Roman" w:eastAsia="仿宋"/>
        </w:rPr>
        <w:t>电话：</w:t>
      </w:r>
      <w:r>
        <w:rPr>
          <w:rFonts w:hint="eastAsia" w:ascii="Times New Roman" w:hAnsi="Times New Roman" w:eastAsia="仿宋"/>
          <w:u w:val="single"/>
        </w:rPr>
        <w:t>　　　　　　　　</w:t>
      </w:r>
    </w:p>
    <w:p w14:paraId="6D817EB5">
      <w:pPr>
        <w:spacing w:line="360" w:lineRule="auto"/>
        <w:rPr>
          <w:rFonts w:ascii="Times New Roman" w:hAnsi="Times New Roman" w:eastAsia="仿宋"/>
          <w:u w:val="single"/>
        </w:rPr>
      </w:pPr>
    </w:p>
    <w:p w14:paraId="4ECC453B">
      <w:pPr>
        <w:rPr>
          <w:rFonts w:ascii="Times New Roman" w:hAnsi="Times New Roman" w:eastAsia="仿宋"/>
          <w:b/>
          <w:sz w:val="36"/>
          <w:szCs w:val="36"/>
        </w:rPr>
      </w:pPr>
      <w:r>
        <w:rPr>
          <w:rFonts w:ascii="Times New Roman" w:hAnsi="Times New Roman"/>
        </w:rPr>
        <w:br w:type="page"/>
      </w:r>
    </w:p>
    <w:p w14:paraId="6B683498">
      <w:pPr>
        <w:spacing w:line="360" w:lineRule="auto"/>
        <w:ind w:firstLine="435"/>
        <w:jc w:val="center"/>
        <w:rPr>
          <w:rFonts w:ascii="Times New Roman" w:hAnsi="Times New Roman" w:eastAsia="仿宋"/>
          <w:b/>
          <w:sz w:val="36"/>
          <w:szCs w:val="36"/>
        </w:rPr>
      </w:pPr>
      <w:r>
        <w:rPr>
          <w:rFonts w:hint="eastAsia" w:ascii="Times New Roman" w:hAnsi="Times New Roman" w:eastAsia="仿宋"/>
          <w:b/>
          <w:sz w:val="36"/>
          <w:szCs w:val="36"/>
        </w:rPr>
        <w:t>法人营业执照、税务登记证书、组织机构代码证</w:t>
      </w:r>
    </w:p>
    <w:p w14:paraId="7379987D">
      <w:pPr>
        <w:spacing w:line="360" w:lineRule="auto"/>
        <w:ind w:firstLine="435"/>
        <w:jc w:val="center"/>
        <w:rPr>
          <w:rFonts w:ascii="Times New Roman" w:hAnsi="Times New Roman" w:eastAsia="仿宋"/>
          <w:b/>
          <w:sz w:val="36"/>
          <w:szCs w:val="36"/>
        </w:rPr>
      </w:pPr>
    </w:p>
    <w:p w14:paraId="5103FB87">
      <w:pPr>
        <w:spacing w:line="360" w:lineRule="auto"/>
        <w:rPr>
          <w:rFonts w:ascii="Times New Roman" w:hAnsi="Times New Roman" w:eastAsia="仿宋"/>
        </w:rPr>
      </w:pPr>
    </w:p>
    <w:p w14:paraId="298FB25D">
      <w:pPr>
        <w:spacing w:line="360" w:lineRule="auto"/>
        <w:rPr>
          <w:rFonts w:ascii="Times New Roman" w:hAnsi="Times New Roman" w:eastAsia="仿宋"/>
        </w:rPr>
      </w:pPr>
    </w:p>
    <w:p w14:paraId="797CC2DC">
      <w:pPr>
        <w:spacing w:line="360" w:lineRule="auto"/>
        <w:rPr>
          <w:rFonts w:ascii="Times New Roman" w:hAnsi="Times New Roman" w:eastAsia="仿宋"/>
        </w:rPr>
      </w:pPr>
      <w:r>
        <w:rPr>
          <w:rFonts w:hint="eastAsia" w:ascii="Times New Roman" w:hAnsi="Times New Roman" w:eastAsia="仿宋"/>
          <w:u w:val="single"/>
        </w:rPr>
        <w:t>福建省能源石化信息科技有限责任公司</w:t>
      </w:r>
      <w:r>
        <w:rPr>
          <w:rFonts w:hint="eastAsia" w:ascii="Times New Roman" w:hAnsi="Times New Roman" w:eastAsia="仿宋"/>
        </w:rPr>
        <w:t>：</w:t>
      </w:r>
    </w:p>
    <w:p w14:paraId="60E21E8F">
      <w:pPr>
        <w:spacing w:line="360" w:lineRule="auto"/>
        <w:rPr>
          <w:rFonts w:ascii="Times New Roman" w:hAnsi="Times New Roman" w:eastAsia="仿宋"/>
        </w:rPr>
      </w:pPr>
    </w:p>
    <w:p w14:paraId="0064B202">
      <w:pPr>
        <w:spacing w:line="360" w:lineRule="auto"/>
        <w:rPr>
          <w:rFonts w:ascii="Times New Roman" w:hAnsi="Times New Roman" w:eastAsia="仿宋"/>
        </w:rPr>
      </w:pPr>
    </w:p>
    <w:p w14:paraId="618302E8">
      <w:pPr>
        <w:spacing w:line="360" w:lineRule="auto"/>
        <w:ind w:firstLine="552"/>
        <w:rPr>
          <w:rFonts w:ascii="Times New Roman" w:hAnsi="Times New Roman" w:eastAsia="仿宋"/>
        </w:rPr>
      </w:pPr>
      <w:r>
        <w:rPr>
          <w:rFonts w:hint="eastAsia" w:ascii="Times New Roman" w:hAnsi="Times New Roman" w:eastAsia="仿宋"/>
        </w:rPr>
        <w:t>现附上我方法人营业执照副本、税务登记证书、组织机构代码证复印件，该执照真实有效。（若已三证合一的可直接提交营业执照复印件）</w:t>
      </w:r>
    </w:p>
    <w:p w14:paraId="13040764">
      <w:pPr>
        <w:spacing w:line="360" w:lineRule="auto"/>
        <w:ind w:firstLine="552"/>
        <w:rPr>
          <w:rFonts w:ascii="Times New Roman" w:hAnsi="Times New Roman" w:eastAsia="仿宋"/>
        </w:rPr>
      </w:pPr>
    </w:p>
    <w:p w14:paraId="4CE9E57E">
      <w:pPr>
        <w:spacing w:line="360" w:lineRule="auto"/>
        <w:rPr>
          <w:rFonts w:ascii="Times New Roman" w:hAnsi="Times New Roman" w:eastAsia="仿宋"/>
        </w:rPr>
      </w:pPr>
    </w:p>
    <w:p w14:paraId="0EA6E37A">
      <w:pPr>
        <w:spacing w:line="360" w:lineRule="auto"/>
        <w:rPr>
          <w:rFonts w:ascii="Times New Roman" w:hAnsi="Times New Roman" w:eastAsia="仿宋"/>
          <w:szCs w:val="21"/>
        </w:rPr>
      </w:pPr>
      <w:r>
        <w:rPr>
          <w:rFonts w:hint="eastAsia" w:ascii="Times New Roman" w:hAnsi="Times New Roman" w:eastAsia="仿宋"/>
          <w:szCs w:val="21"/>
        </w:rPr>
        <w:t>（注：</w:t>
      </w:r>
      <w:r>
        <w:rPr>
          <w:rFonts w:hint="eastAsia" w:ascii="Times New Roman" w:hAnsi="Times New Roman" w:eastAsia="仿宋"/>
          <w:b/>
          <w:szCs w:val="21"/>
        </w:rPr>
        <w:t>复印件，由企业加盖公章并注明复印件与原件一致</w:t>
      </w:r>
      <w:r>
        <w:rPr>
          <w:rFonts w:hint="eastAsia" w:ascii="Times New Roman" w:hAnsi="Times New Roman" w:eastAsia="仿宋"/>
          <w:szCs w:val="21"/>
        </w:rPr>
        <w:t>。）</w:t>
      </w:r>
    </w:p>
    <w:p w14:paraId="1FCB0784">
      <w:pPr>
        <w:spacing w:line="360" w:lineRule="auto"/>
        <w:rPr>
          <w:rFonts w:ascii="Times New Roman" w:hAnsi="Times New Roman" w:eastAsia="仿宋"/>
        </w:rPr>
      </w:pPr>
    </w:p>
    <w:p w14:paraId="00C33DD7">
      <w:pPr>
        <w:spacing w:line="360" w:lineRule="auto"/>
        <w:rPr>
          <w:rFonts w:ascii="Times New Roman" w:hAnsi="Times New Roman" w:eastAsia="仿宋"/>
        </w:rPr>
      </w:pPr>
    </w:p>
    <w:p w14:paraId="769F5278">
      <w:pPr>
        <w:spacing w:line="360" w:lineRule="auto"/>
        <w:rPr>
          <w:rFonts w:ascii="Times New Roman" w:hAnsi="Times New Roman" w:eastAsia="仿宋"/>
        </w:rPr>
      </w:pPr>
    </w:p>
    <w:p w14:paraId="7E3AA04C">
      <w:pPr>
        <w:spacing w:line="360" w:lineRule="auto"/>
        <w:rPr>
          <w:rFonts w:ascii="Times New Roman" w:hAnsi="Times New Roman" w:eastAsia="仿宋"/>
        </w:rPr>
      </w:pPr>
    </w:p>
    <w:p w14:paraId="3A87D335">
      <w:pPr>
        <w:spacing w:line="360" w:lineRule="auto"/>
        <w:rPr>
          <w:rFonts w:ascii="Times New Roman" w:hAnsi="Times New Roman" w:eastAsia="仿宋"/>
        </w:rPr>
      </w:pPr>
    </w:p>
    <w:p w14:paraId="39A01ADD">
      <w:pPr>
        <w:spacing w:line="360" w:lineRule="auto"/>
        <w:rPr>
          <w:rFonts w:ascii="Times New Roman" w:hAnsi="Times New Roman" w:eastAsia="仿宋"/>
        </w:rPr>
      </w:pPr>
    </w:p>
    <w:p w14:paraId="5284354E">
      <w:pPr>
        <w:spacing w:line="360" w:lineRule="auto"/>
        <w:rPr>
          <w:rFonts w:ascii="Times New Roman" w:hAnsi="Times New Roman" w:eastAsia="仿宋"/>
        </w:rPr>
      </w:pPr>
      <w:r>
        <w:rPr>
          <w:rFonts w:hint="eastAsia" w:ascii="Times New Roman" w:hAnsi="Times New Roman" w:eastAsia="仿宋"/>
        </w:rPr>
        <w:t xml:space="preserve">                             参选人   </w:t>
      </w:r>
      <w:r>
        <w:rPr>
          <w:rFonts w:hint="eastAsia" w:ascii="Times New Roman" w:hAnsi="Times New Roman" w:eastAsia="仿宋"/>
          <w:u w:val="single"/>
        </w:rPr>
        <w:t xml:space="preserve">（全称并加盖公章）：      </w:t>
      </w:r>
    </w:p>
    <w:p w14:paraId="39B83948">
      <w:pPr>
        <w:spacing w:line="360" w:lineRule="auto"/>
        <w:rPr>
          <w:rFonts w:ascii="Times New Roman" w:hAnsi="Times New Roman" w:eastAsia="仿宋"/>
          <w:u w:val="single"/>
        </w:rPr>
      </w:pPr>
      <w:r>
        <w:rPr>
          <w:rFonts w:hint="eastAsia" w:ascii="Times New Roman" w:hAnsi="Times New Roman" w:eastAsia="仿宋"/>
        </w:rPr>
        <w:t xml:space="preserve">                             法定代表人或参选代表（签字或盖章）：</w:t>
      </w:r>
      <w:r>
        <w:rPr>
          <w:rFonts w:hint="eastAsia" w:ascii="Times New Roman" w:hAnsi="Times New Roman" w:eastAsia="仿宋"/>
          <w:u w:val="single"/>
        </w:rPr>
        <w:t xml:space="preserve">               </w:t>
      </w:r>
    </w:p>
    <w:p w14:paraId="7F759396">
      <w:pPr>
        <w:spacing w:line="360" w:lineRule="auto"/>
        <w:rPr>
          <w:rFonts w:ascii="Times New Roman" w:hAnsi="Times New Roman" w:eastAsia="仿宋"/>
          <w:u w:val="single"/>
        </w:rPr>
      </w:pPr>
      <w:r>
        <w:rPr>
          <w:rFonts w:hint="eastAsia" w:ascii="Times New Roman" w:hAnsi="Times New Roman" w:eastAsia="仿宋"/>
        </w:rPr>
        <w:t xml:space="preserve">                             日期：</w:t>
      </w:r>
      <w:r>
        <w:rPr>
          <w:rFonts w:hint="eastAsia" w:ascii="Times New Roman" w:hAnsi="Times New Roman" w:eastAsia="仿宋"/>
          <w:u w:val="single"/>
        </w:rPr>
        <w:t xml:space="preserve">                            </w:t>
      </w:r>
    </w:p>
    <w:p w14:paraId="27DCB0A9">
      <w:pPr>
        <w:pStyle w:val="16"/>
        <w:spacing w:before="0" w:after="0" w:line="560" w:lineRule="exact"/>
        <w:jc w:val="left"/>
        <w:rPr>
          <w:rFonts w:ascii="Times New Roman" w:hAnsi="Times New Roman" w:eastAsia="仿宋" w:cs="宋体"/>
          <w:b w:val="0"/>
          <w:szCs w:val="28"/>
        </w:rPr>
        <w:sectPr>
          <w:pgSz w:w="11906" w:h="16838"/>
          <w:pgMar w:top="1440" w:right="1800" w:bottom="1440" w:left="1800" w:header="851" w:footer="992" w:gutter="0"/>
          <w:pgNumType w:fmt="decimal"/>
          <w:cols w:space="720" w:num="1"/>
          <w:docGrid w:type="lines" w:linePitch="312" w:charSpace="0"/>
        </w:sectPr>
      </w:pPr>
    </w:p>
    <w:p w14:paraId="4F0711F8">
      <w:pPr>
        <w:autoSpaceDE w:val="0"/>
        <w:autoSpaceDN w:val="0"/>
        <w:snapToGrid w:val="0"/>
        <w:spacing w:before="312" w:beforeLines="100" w:line="360" w:lineRule="auto"/>
        <w:ind w:firstLine="361" w:firstLineChars="100"/>
        <w:jc w:val="center"/>
        <w:rPr>
          <w:rFonts w:ascii="Times New Roman" w:hAnsi="Times New Roman" w:eastAsia="仿宋"/>
          <w:b/>
          <w:sz w:val="36"/>
        </w:rPr>
      </w:pPr>
      <w:r>
        <w:rPr>
          <w:rFonts w:hint="eastAsia" w:ascii="Times New Roman" w:hAnsi="Times New Roman" w:eastAsia="仿宋"/>
          <w:b/>
          <w:sz w:val="36"/>
        </w:rPr>
        <w:t>参选人的资信证明</w:t>
      </w:r>
    </w:p>
    <w:p w14:paraId="61252CE0">
      <w:pPr>
        <w:rPr>
          <w:rFonts w:ascii="Times New Roman" w:hAnsi="Times New Roman"/>
        </w:rPr>
      </w:pPr>
      <w:r>
        <w:rPr>
          <w:rFonts w:ascii="Times New Roman" w:hAnsi="Times New Roman"/>
        </w:rPr>
        <w:t xml:space="preserve">  （参选人自行书写）</w:t>
      </w:r>
    </w:p>
    <w:p w14:paraId="391DD549">
      <w:pPr>
        <w:rPr>
          <w:rFonts w:ascii="Times New Roman" w:hAnsi="Times New Roman"/>
        </w:rPr>
      </w:pPr>
    </w:p>
    <w:p w14:paraId="1F70DB3B">
      <w:pPr>
        <w:jc w:val="center"/>
        <w:rPr>
          <w:rFonts w:hint="eastAsia" w:ascii="Times New Roman" w:hAnsi="Times New Roman"/>
          <w:b/>
          <w:color w:val="000000"/>
          <w:sz w:val="36"/>
        </w:rPr>
      </w:pPr>
      <w:r>
        <w:rPr>
          <w:rFonts w:ascii="Times New Roman" w:hAnsi="Times New Roman"/>
        </w:rPr>
        <w:br w:type="page"/>
      </w:r>
      <w:r>
        <w:rPr>
          <w:rFonts w:hint="eastAsia" w:ascii="Times New Roman" w:hAnsi="Times New Roman"/>
          <w:b/>
          <w:color w:val="000000"/>
          <w:sz w:val="36"/>
        </w:rPr>
        <w:t>没有重大违法记录的书面声明</w:t>
      </w:r>
    </w:p>
    <w:p w14:paraId="5D3C2BA5">
      <w:pPr>
        <w:pStyle w:val="9"/>
        <w:spacing w:line="460" w:lineRule="exact"/>
        <w:jc w:val="left"/>
        <w:rPr>
          <w:rFonts w:hint="eastAsia" w:ascii="Times New Roman" w:hAnsi="Times New Roman"/>
          <w:color w:val="000000"/>
          <w:sz w:val="24"/>
        </w:rPr>
      </w:pPr>
    </w:p>
    <w:p w14:paraId="105F8BCA">
      <w:pPr>
        <w:pStyle w:val="9"/>
        <w:spacing w:line="460" w:lineRule="exact"/>
        <w:jc w:val="left"/>
        <w:rPr>
          <w:rFonts w:hint="eastAsia" w:ascii="Times New Roman" w:hAnsi="Times New Roman"/>
          <w:color w:val="000000"/>
          <w:sz w:val="24"/>
        </w:rPr>
      </w:pPr>
    </w:p>
    <w:p w14:paraId="65014E20">
      <w:pPr>
        <w:pStyle w:val="7"/>
        <w:rPr>
          <w:rFonts w:hint="eastAsia" w:ascii="Times New Roman" w:hAnsi="Times New Roman"/>
          <w:color w:val="000000"/>
          <w:u w:val="single"/>
        </w:rPr>
      </w:pPr>
      <w:r>
        <w:rPr>
          <w:rFonts w:hint="eastAsia" w:ascii="Times New Roman" w:hAnsi="Times New Roman"/>
          <w:color w:val="000000"/>
          <w:u w:val="single"/>
        </w:rPr>
        <w:t>福建省能源石化信息科技有限责任公司：</w:t>
      </w:r>
    </w:p>
    <w:p w14:paraId="0475508F">
      <w:pPr>
        <w:pStyle w:val="7"/>
        <w:rPr>
          <w:rFonts w:hint="eastAsia" w:ascii="Times New Roman" w:hAnsi="Times New Roman"/>
          <w:color w:val="000000"/>
          <w:u w:val="single"/>
        </w:rPr>
      </w:pPr>
    </w:p>
    <w:p w14:paraId="4488A2F0">
      <w:pPr>
        <w:pStyle w:val="7"/>
        <w:spacing w:line="600" w:lineRule="exact"/>
        <w:rPr>
          <w:rFonts w:ascii="Times New Roman" w:hAnsi="Times New Roman"/>
          <w:color w:val="000000"/>
        </w:rPr>
      </w:pPr>
      <w:r>
        <w:rPr>
          <w:rFonts w:hint="eastAsia" w:ascii="Times New Roman" w:hAnsi="Times New Roman"/>
          <w:color w:val="000000"/>
        </w:rPr>
        <w:t>我公司在参加本项目比选活动前三年内在经营活动中没有重大违法记录，</w:t>
      </w:r>
      <w:r>
        <w:rPr>
          <w:rFonts w:hint="eastAsia" w:ascii="Times New Roman" w:hAnsi="Times New Roman"/>
          <w:color w:val="000000"/>
          <w:lang w:val="en-US" w:eastAsia="zh-CN"/>
        </w:rPr>
        <w:t>并附上“信用中国”查询结果截图，</w:t>
      </w:r>
      <w:r>
        <w:rPr>
          <w:rFonts w:hint="eastAsia" w:ascii="Times New Roman" w:hAnsi="Times New Roman"/>
          <w:color w:val="000000"/>
        </w:rPr>
        <w:t>特此声明。</w:t>
      </w:r>
    </w:p>
    <w:p w14:paraId="34E4F73B">
      <w:pPr>
        <w:rPr>
          <w:rFonts w:ascii="Times New Roman" w:hAnsi="Times New Roman"/>
        </w:rPr>
      </w:pPr>
    </w:p>
    <w:p w14:paraId="3C759DD0">
      <w:pPr>
        <w:rPr>
          <w:rFonts w:ascii="Times New Roman" w:hAnsi="Times New Roman"/>
        </w:rPr>
      </w:pPr>
    </w:p>
    <w:p w14:paraId="0337EDA9">
      <w:pPr>
        <w:spacing w:line="360" w:lineRule="auto"/>
        <w:rPr>
          <w:rFonts w:ascii="Times New Roman" w:hAnsi="Times New Roman" w:eastAsia="仿宋"/>
        </w:rPr>
      </w:pPr>
    </w:p>
    <w:p w14:paraId="0C968FC5">
      <w:pPr>
        <w:spacing w:line="360" w:lineRule="auto"/>
        <w:rPr>
          <w:rFonts w:ascii="Times New Roman" w:hAnsi="Times New Roman" w:eastAsia="仿宋"/>
        </w:rPr>
      </w:pPr>
      <w:r>
        <w:rPr>
          <w:rFonts w:hint="eastAsia" w:ascii="Times New Roman" w:hAnsi="Times New Roman" w:eastAsia="仿宋"/>
        </w:rPr>
        <w:t xml:space="preserve">                             参选人   </w:t>
      </w:r>
      <w:r>
        <w:rPr>
          <w:rFonts w:hint="eastAsia" w:ascii="Times New Roman" w:hAnsi="Times New Roman" w:eastAsia="仿宋"/>
          <w:u w:val="single"/>
        </w:rPr>
        <w:t xml:space="preserve">（全称并加盖公章）：      </w:t>
      </w:r>
    </w:p>
    <w:p w14:paraId="436C7C76">
      <w:pPr>
        <w:spacing w:line="360" w:lineRule="auto"/>
        <w:rPr>
          <w:rFonts w:ascii="Times New Roman" w:hAnsi="Times New Roman" w:eastAsia="仿宋"/>
          <w:u w:val="single"/>
        </w:rPr>
      </w:pPr>
      <w:r>
        <w:rPr>
          <w:rFonts w:hint="eastAsia" w:ascii="Times New Roman" w:hAnsi="Times New Roman" w:eastAsia="仿宋"/>
        </w:rPr>
        <w:t xml:space="preserve">                             法定代表人或参选代表（签字或盖章）： </w:t>
      </w:r>
      <w:r>
        <w:rPr>
          <w:rFonts w:hint="eastAsia" w:ascii="Times New Roman" w:hAnsi="Times New Roman" w:eastAsia="仿宋"/>
          <w:u w:val="single"/>
        </w:rPr>
        <w:t xml:space="preserve">              </w:t>
      </w:r>
    </w:p>
    <w:p w14:paraId="76314421">
      <w:pPr>
        <w:spacing w:line="360" w:lineRule="auto"/>
        <w:rPr>
          <w:rFonts w:ascii="Times New Roman" w:hAnsi="Times New Roman" w:eastAsia="仿宋"/>
          <w:u w:val="single"/>
        </w:rPr>
      </w:pPr>
      <w:r>
        <w:rPr>
          <w:rFonts w:hint="eastAsia" w:ascii="Times New Roman" w:hAnsi="Times New Roman" w:eastAsia="仿宋"/>
        </w:rPr>
        <w:t xml:space="preserve">                             日期：</w:t>
      </w:r>
      <w:r>
        <w:rPr>
          <w:rFonts w:hint="eastAsia" w:ascii="Times New Roman" w:hAnsi="Times New Roman" w:eastAsia="仿宋"/>
          <w:u w:val="single"/>
        </w:rPr>
        <w:t xml:space="preserve">                            </w:t>
      </w:r>
    </w:p>
    <w:p w14:paraId="0E70278E">
      <w:pPr>
        <w:jc w:val="center"/>
        <w:rPr>
          <w:rFonts w:ascii="Times New Roman" w:hAnsi="Times New Roman"/>
          <w:color w:val="000000"/>
        </w:rPr>
      </w:pPr>
      <w:r>
        <w:rPr>
          <w:rFonts w:ascii="Times New Roman" w:hAnsi="Times New Roman"/>
        </w:rPr>
        <w:br w:type="page"/>
      </w:r>
      <w:r>
        <w:rPr>
          <w:rFonts w:ascii="Times New Roman" w:hAnsi="Times New Roman"/>
          <w:color w:val="000000"/>
        </w:rPr>
        <w:t xml:space="preserve"> </w:t>
      </w:r>
    </w:p>
    <w:p w14:paraId="4083CCC5">
      <w:pPr>
        <w:jc w:val="center"/>
        <w:rPr>
          <w:rFonts w:hint="eastAsia" w:ascii="Times New Roman" w:hAnsi="Times New Roman"/>
          <w:b/>
          <w:color w:val="000000"/>
          <w:sz w:val="32"/>
        </w:rPr>
      </w:pPr>
      <w:r>
        <w:rPr>
          <w:rFonts w:hint="eastAsia" w:ascii="Times New Roman" w:hAnsi="Times New Roman" w:eastAsia="仿宋"/>
          <w:b/>
          <w:color w:val="000000"/>
          <w:sz w:val="36"/>
        </w:rPr>
        <w:t>其它资格证明文件</w:t>
      </w:r>
    </w:p>
    <w:p w14:paraId="5DD0CC03">
      <w:pPr>
        <w:spacing w:line="420" w:lineRule="exact"/>
        <w:ind w:firstLine="480"/>
        <w:rPr>
          <w:rFonts w:hint="eastAsia" w:ascii="Times New Roman" w:hAnsi="Times New Roman"/>
          <w:color w:val="000000"/>
        </w:rPr>
      </w:pPr>
    </w:p>
    <w:p w14:paraId="76BA87DA">
      <w:pPr>
        <w:spacing w:line="380" w:lineRule="exact"/>
        <w:ind w:firstLine="480" w:firstLineChars="200"/>
        <w:rPr>
          <w:rFonts w:hint="eastAsia" w:ascii="Times New Roman" w:hAnsi="Times New Roman" w:eastAsia="仿宋" w:cs="仿宋"/>
          <w:color w:val="000000"/>
        </w:rPr>
      </w:pPr>
      <w:r>
        <w:rPr>
          <w:rFonts w:hint="eastAsia" w:ascii="Times New Roman" w:hAnsi="Times New Roman" w:eastAsia="仿宋" w:cs="仿宋"/>
          <w:color w:val="000000"/>
        </w:rPr>
        <w:t>参选人须根据比选文件中参选人需列的其它相关证明资料（复印件则均需加盖参选人单位公章)</w:t>
      </w:r>
    </w:p>
    <w:p w14:paraId="3230A6ED">
      <w:pPr>
        <w:pStyle w:val="2"/>
        <w:rPr>
          <w:rFonts w:ascii="Times New Roman" w:hAnsi="Times New Roman" w:eastAsia="仿宋" w:cs="仿宋"/>
          <w:color w:val="000000"/>
        </w:rPr>
      </w:pPr>
    </w:p>
    <w:p w14:paraId="6A35EBED">
      <w:pPr>
        <w:outlineLvl w:val="0"/>
        <w:rPr>
          <w:rFonts w:ascii="Times New Roman" w:hAnsi="Times New Roman" w:eastAsia="仿宋"/>
          <w:b/>
          <w:sz w:val="28"/>
          <w:szCs w:val="28"/>
        </w:rPr>
      </w:pPr>
      <w:r>
        <w:rPr>
          <w:rFonts w:hint="eastAsia" w:ascii="Times New Roman" w:hAnsi="Times New Roman" w:eastAsia="仿宋" w:cs="仿宋"/>
          <w:color w:val="000000"/>
        </w:rPr>
        <w:br w:type="page"/>
      </w:r>
      <w:bookmarkStart w:id="432" w:name="_Toc32379"/>
      <w:bookmarkStart w:id="433" w:name="_Toc25268"/>
      <w:bookmarkStart w:id="434" w:name="_Toc19127"/>
      <w:bookmarkStart w:id="435" w:name="_Toc28879"/>
      <w:bookmarkStart w:id="436" w:name="_Toc22169"/>
      <w:bookmarkStart w:id="437" w:name="_Toc24467"/>
      <w:bookmarkStart w:id="438" w:name="_Toc10277"/>
      <w:bookmarkStart w:id="439" w:name="_Toc91421127"/>
      <w:bookmarkStart w:id="440" w:name="_Toc10080"/>
      <w:bookmarkStart w:id="441" w:name="_Toc475"/>
      <w:bookmarkStart w:id="442" w:name="_Toc19121"/>
      <w:bookmarkStart w:id="443" w:name="_Toc18580"/>
      <w:bookmarkStart w:id="444" w:name="_Toc22705"/>
      <w:r>
        <w:rPr>
          <w:rFonts w:hint="eastAsia" w:ascii="Times New Roman" w:hAnsi="Times New Roman" w:eastAsia="仿宋" w:cs="Arial"/>
          <w:b/>
          <w:bCs/>
          <w:color w:val="000000"/>
          <w:kern w:val="2"/>
          <w:sz w:val="44"/>
          <w:szCs w:val="44"/>
        </w:rPr>
        <w:t>附件</w:t>
      </w:r>
      <w:bookmarkEnd w:id="432"/>
      <w:r>
        <w:rPr>
          <w:rFonts w:hint="eastAsia" w:ascii="Times New Roman" w:hAnsi="Times New Roman" w:eastAsia="仿宋" w:cs="Arial"/>
          <w:b/>
          <w:bCs/>
          <w:color w:val="000000"/>
          <w:kern w:val="2"/>
          <w:sz w:val="44"/>
          <w:szCs w:val="44"/>
        </w:rPr>
        <w:t>八  技术方案</w:t>
      </w:r>
      <w:bookmarkEnd w:id="433"/>
      <w:bookmarkEnd w:id="434"/>
      <w:bookmarkEnd w:id="435"/>
      <w:bookmarkEnd w:id="436"/>
      <w:bookmarkEnd w:id="437"/>
      <w:bookmarkEnd w:id="438"/>
      <w:bookmarkEnd w:id="439"/>
      <w:bookmarkEnd w:id="440"/>
      <w:bookmarkEnd w:id="441"/>
      <w:bookmarkEnd w:id="442"/>
      <w:bookmarkEnd w:id="443"/>
      <w:bookmarkEnd w:id="444"/>
      <w:r>
        <w:rPr>
          <w:rFonts w:hint="eastAsia" w:ascii="Times New Roman" w:hAnsi="Times New Roman" w:eastAsia="仿宋" w:cs="Arial"/>
          <w:b/>
          <w:bCs/>
          <w:color w:val="000000"/>
          <w:kern w:val="2"/>
          <w:sz w:val="44"/>
          <w:szCs w:val="44"/>
        </w:rPr>
        <w:t xml:space="preserve"> </w:t>
      </w:r>
      <w:r>
        <w:rPr>
          <w:rFonts w:hint="eastAsia" w:ascii="Times New Roman" w:hAnsi="Times New Roman" w:eastAsia="仿宋"/>
          <w:sz w:val="44"/>
          <w:szCs w:val="44"/>
        </w:rPr>
        <w:t xml:space="preserve">  </w:t>
      </w:r>
      <w:r>
        <w:rPr>
          <w:rFonts w:hint="eastAsia" w:ascii="Times New Roman" w:hAnsi="Times New Roman" w:eastAsia="仿宋"/>
          <w:b/>
          <w:sz w:val="28"/>
          <w:szCs w:val="28"/>
        </w:rPr>
        <w:t xml:space="preserve">        </w:t>
      </w:r>
    </w:p>
    <w:p w14:paraId="4C2D5964">
      <w:pPr>
        <w:spacing w:line="360" w:lineRule="auto"/>
        <w:jc w:val="center"/>
        <w:rPr>
          <w:rFonts w:ascii="Times New Roman" w:hAnsi="Times New Roman" w:eastAsia="仿宋"/>
          <w:b/>
          <w:sz w:val="36"/>
          <w:szCs w:val="36"/>
        </w:rPr>
      </w:pPr>
    </w:p>
    <w:p w14:paraId="6B0E9258">
      <w:pPr>
        <w:spacing w:line="360" w:lineRule="auto"/>
        <w:jc w:val="center"/>
        <w:rPr>
          <w:rFonts w:hint="eastAsia" w:ascii="Times New Roman" w:hAnsi="Times New Roman" w:eastAsia="仿宋"/>
          <w:b/>
          <w:sz w:val="36"/>
          <w:szCs w:val="36"/>
        </w:rPr>
      </w:pPr>
      <w:r>
        <w:rPr>
          <w:rFonts w:hint="eastAsia" w:ascii="Times New Roman" w:hAnsi="Times New Roman" w:eastAsia="仿宋"/>
          <w:b/>
          <w:sz w:val="36"/>
          <w:szCs w:val="36"/>
        </w:rPr>
        <w:t xml:space="preserve"> 技术方案</w:t>
      </w:r>
    </w:p>
    <w:p w14:paraId="7DE53886">
      <w:pPr>
        <w:autoSpaceDE w:val="0"/>
        <w:autoSpaceDN w:val="0"/>
        <w:snapToGrid w:val="0"/>
        <w:spacing w:before="312" w:beforeLines="100" w:line="360" w:lineRule="auto"/>
        <w:rPr>
          <w:rFonts w:hint="eastAsia" w:ascii="Times New Roman" w:hAnsi="Times New Roman" w:eastAsia="仿宋"/>
          <w:sz w:val="28"/>
          <w:szCs w:val="28"/>
        </w:rPr>
      </w:pPr>
    </w:p>
    <w:p w14:paraId="7184DE1F">
      <w:pPr>
        <w:autoSpaceDE w:val="0"/>
        <w:autoSpaceDN w:val="0"/>
        <w:snapToGrid w:val="0"/>
        <w:spacing w:before="312" w:beforeLines="100" w:line="360" w:lineRule="auto"/>
        <w:rPr>
          <w:rFonts w:hint="eastAsia" w:ascii="Times New Roman" w:hAnsi="Times New Roman" w:eastAsia="仿宋"/>
          <w:sz w:val="28"/>
          <w:szCs w:val="28"/>
        </w:rPr>
      </w:pPr>
      <w:r>
        <w:rPr>
          <w:rFonts w:hint="eastAsia" w:ascii="Times New Roman" w:hAnsi="Times New Roman" w:eastAsia="仿宋"/>
          <w:sz w:val="28"/>
          <w:szCs w:val="28"/>
        </w:rPr>
        <w:t>（参选人自行书写）</w:t>
      </w:r>
    </w:p>
    <w:p w14:paraId="040EC938">
      <w:pPr>
        <w:autoSpaceDE w:val="0"/>
        <w:autoSpaceDN w:val="0"/>
        <w:snapToGrid w:val="0"/>
        <w:spacing w:before="312" w:beforeLines="100" w:line="360" w:lineRule="auto"/>
        <w:rPr>
          <w:rFonts w:hint="eastAsia" w:ascii="Times New Roman" w:hAnsi="Times New Roman" w:eastAsia="仿宋"/>
          <w:sz w:val="28"/>
          <w:szCs w:val="28"/>
        </w:rPr>
      </w:pPr>
      <w:r>
        <w:rPr>
          <w:rFonts w:hint="eastAsia" w:ascii="Times New Roman" w:hAnsi="Times New Roman" w:eastAsia="仿宋"/>
          <w:sz w:val="28"/>
          <w:szCs w:val="28"/>
        </w:rPr>
        <w:t>说明：</w:t>
      </w:r>
    </w:p>
    <w:p w14:paraId="4F583753">
      <w:pPr>
        <w:autoSpaceDE w:val="0"/>
        <w:autoSpaceDN w:val="0"/>
        <w:snapToGrid w:val="0"/>
        <w:spacing w:line="360" w:lineRule="auto"/>
        <w:ind w:firstLine="560" w:firstLineChars="200"/>
        <w:rPr>
          <w:rFonts w:hint="eastAsia" w:ascii="Times New Roman" w:hAnsi="Times New Roman" w:eastAsia="仿宋"/>
        </w:rPr>
      </w:pPr>
      <w:r>
        <w:rPr>
          <w:rFonts w:hint="eastAsia" w:ascii="Times New Roman" w:hAnsi="Times New Roman" w:eastAsia="仿宋"/>
          <w:sz w:val="28"/>
          <w:szCs w:val="28"/>
        </w:rPr>
        <w:t>参选人按照比选文件“第五章评比规则”的技术项评分规则自行组织编写，未提供格式的内容，格式自拟。但必须针对参选文件中的内容及要求，围绕比选文件中项目编写。</w:t>
      </w:r>
    </w:p>
    <w:p w14:paraId="79301CCB">
      <w:pPr>
        <w:pStyle w:val="16"/>
        <w:spacing w:before="0" w:after="0" w:line="560" w:lineRule="exact"/>
        <w:jc w:val="left"/>
        <w:rPr>
          <w:rFonts w:ascii="Times New Roman" w:hAnsi="Times New Roman" w:eastAsia="仿宋"/>
          <w:sz w:val="44"/>
          <w:szCs w:val="44"/>
        </w:rPr>
      </w:pPr>
      <w:r>
        <w:rPr>
          <w:rFonts w:hint="eastAsia" w:ascii="Times New Roman" w:hAnsi="Times New Roman" w:eastAsia="仿宋" w:cs="仿宋"/>
          <w:sz w:val="44"/>
          <w:szCs w:val="44"/>
        </w:rPr>
        <w:br w:type="page"/>
      </w:r>
      <w:bookmarkStart w:id="445" w:name="_Toc10031"/>
      <w:bookmarkStart w:id="446" w:name="_Toc21522"/>
      <w:bookmarkStart w:id="447" w:name="_Toc25758"/>
      <w:bookmarkStart w:id="448" w:name="_Toc21623"/>
      <w:bookmarkStart w:id="449" w:name="_Toc91421123"/>
      <w:bookmarkStart w:id="450" w:name="_Toc28526"/>
      <w:bookmarkStart w:id="451" w:name="_Toc29132"/>
      <w:bookmarkStart w:id="452" w:name="_Toc2365"/>
      <w:bookmarkStart w:id="453" w:name="_Toc26222"/>
      <w:bookmarkStart w:id="454" w:name="_Toc16214"/>
      <w:bookmarkStart w:id="455" w:name="_Toc21895"/>
      <w:bookmarkStart w:id="456" w:name="_Toc32158"/>
      <w:bookmarkStart w:id="457" w:name="_Toc19124"/>
      <w:r>
        <w:rPr>
          <w:rFonts w:hint="eastAsia" w:ascii="Times New Roman" w:hAnsi="Times New Roman" w:eastAsia="仿宋"/>
          <w:sz w:val="44"/>
          <w:szCs w:val="44"/>
        </w:rPr>
        <w:t>附件</w:t>
      </w:r>
      <w:bookmarkEnd w:id="445"/>
      <w:r>
        <w:rPr>
          <w:rFonts w:hint="eastAsia" w:ascii="Times New Roman" w:hAnsi="Times New Roman" w:eastAsia="仿宋"/>
          <w:sz w:val="44"/>
          <w:szCs w:val="44"/>
        </w:rPr>
        <w:t xml:space="preserve">九 </w:t>
      </w:r>
      <w:r>
        <w:rPr>
          <w:rFonts w:ascii="Times New Roman" w:hAnsi="Times New Roman" w:eastAsia="仿宋"/>
          <w:sz w:val="44"/>
          <w:szCs w:val="44"/>
        </w:rPr>
        <w:t xml:space="preserve"> </w:t>
      </w:r>
      <w:r>
        <w:rPr>
          <w:rFonts w:hint="eastAsia" w:ascii="Times New Roman" w:hAnsi="Times New Roman" w:eastAsia="仿宋"/>
          <w:sz w:val="44"/>
          <w:szCs w:val="44"/>
        </w:rPr>
        <w:t>比选文件要求响应偏离表</w:t>
      </w:r>
      <w:bookmarkEnd w:id="446"/>
      <w:bookmarkEnd w:id="447"/>
      <w:bookmarkEnd w:id="448"/>
      <w:bookmarkEnd w:id="449"/>
      <w:bookmarkEnd w:id="450"/>
      <w:bookmarkEnd w:id="451"/>
      <w:bookmarkEnd w:id="452"/>
      <w:bookmarkEnd w:id="453"/>
      <w:bookmarkEnd w:id="454"/>
      <w:bookmarkEnd w:id="455"/>
      <w:bookmarkEnd w:id="456"/>
      <w:bookmarkEnd w:id="457"/>
    </w:p>
    <w:p w14:paraId="0F68E071">
      <w:pPr>
        <w:pStyle w:val="14"/>
        <w:rPr>
          <w:rFonts w:ascii="Times New Roman" w:hAnsi="Times New Roman"/>
        </w:rPr>
      </w:pPr>
    </w:p>
    <w:p w14:paraId="06CF2DF6">
      <w:pPr>
        <w:spacing w:line="360" w:lineRule="auto"/>
        <w:ind w:firstLine="480"/>
        <w:jc w:val="center"/>
        <w:rPr>
          <w:rFonts w:ascii="Times New Roman" w:hAnsi="Times New Roman" w:eastAsia="仿宋"/>
          <w:b/>
          <w:sz w:val="36"/>
          <w:szCs w:val="36"/>
        </w:rPr>
      </w:pPr>
      <w:r>
        <w:rPr>
          <w:rFonts w:hint="eastAsia" w:ascii="Times New Roman" w:hAnsi="Times New Roman" w:eastAsia="仿宋"/>
          <w:b/>
          <w:sz w:val="36"/>
          <w:szCs w:val="36"/>
        </w:rPr>
        <w:t>比选文件要求响应偏离表</w:t>
      </w:r>
    </w:p>
    <w:p w14:paraId="4AF86074">
      <w:pPr>
        <w:spacing w:line="360" w:lineRule="auto"/>
        <w:jc w:val="center"/>
        <w:rPr>
          <w:rFonts w:ascii="Times New Roman" w:hAnsi="Times New Roman" w:eastAsia="仿宋"/>
          <w:b/>
        </w:rPr>
      </w:pPr>
    </w:p>
    <w:p w14:paraId="24580A41">
      <w:pPr>
        <w:spacing w:before="120" w:after="120" w:line="360" w:lineRule="auto"/>
        <w:rPr>
          <w:rFonts w:hint="eastAsia" w:ascii="Times New Roman" w:hAnsi="Times New Roman" w:eastAsia="仿宋"/>
        </w:rPr>
      </w:pPr>
      <w:r>
        <w:rPr>
          <w:rFonts w:hint="eastAsia" w:ascii="Times New Roman" w:hAnsi="Times New Roman" w:eastAsia="仿宋"/>
        </w:rPr>
        <w:t>参选项目：</w:t>
      </w:r>
      <w:r>
        <w:rPr>
          <w:rFonts w:hint="eastAsia" w:ascii="Times New Roman" w:hAnsi="Times New Roman" w:eastAsia="仿宋" w:cs="宋体"/>
          <w:lang w:eastAsia="zh-CN"/>
        </w:rPr>
        <w:t>福维新材料会议室系统建设项目</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517"/>
        <w:gridCol w:w="2072"/>
        <w:gridCol w:w="2247"/>
        <w:gridCol w:w="2247"/>
      </w:tblGrid>
      <w:tr w14:paraId="13DD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257" w:type="dxa"/>
            <w:tcBorders>
              <w:top w:val="single" w:color="auto" w:sz="4" w:space="0"/>
              <w:left w:val="single" w:color="auto" w:sz="4" w:space="0"/>
              <w:bottom w:val="single" w:color="auto" w:sz="4" w:space="0"/>
              <w:right w:val="single" w:color="auto" w:sz="4" w:space="0"/>
            </w:tcBorders>
            <w:noWrap w:val="0"/>
            <w:vAlign w:val="center"/>
          </w:tcPr>
          <w:p w14:paraId="0F3D8C4C">
            <w:pPr>
              <w:spacing w:line="380" w:lineRule="exact"/>
              <w:jc w:val="center"/>
              <w:rPr>
                <w:rFonts w:hint="eastAsia" w:ascii="Times New Roman" w:hAnsi="Times New Roman" w:eastAsia="仿宋" w:cs="仿宋"/>
                <w:color w:val="000000"/>
              </w:rPr>
            </w:pPr>
            <w:r>
              <w:rPr>
                <w:rFonts w:hint="eastAsia" w:ascii="Times New Roman" w:hAnsi="Times New Roman" w:eastAsia="仿宋" w:cs="仿宋"/>
                <w:color w:val="000000"/>
              </w:rPr>
              <w:t>序号</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7E97EF61">
            <w:pPr>
              <w:spacing w:line="380" w:lineRule="exact"/>
              <w:jc w:val="center"/>
              <w:rPr>
                <w:rFonts w:hint="eastAsia" w:ascii="Times New Roman" w:hAnsi="Times New Roman" w:eastAsia="仿宋" w:cs="仿宋"/>
                <w:color w:val="000000"/>
              </w:rPr>
            </w:pPr>
            <w:r>
              <w:rPr>
                <w:rFonts w:hint="eastAsia" w:ascii="Times New Roman" w:hAnsi="Times New Roman" w:eastAsia="仿宋" w:cs="仿宋"/>
                <w:color w:val="000000"/>
              </w:rPr>
              <w:t>规格条目号</w:t>
            </w:r>
          </w:p>
        </w:tc>
        <w:tc>
          <w:tcPr>
            <w:tcW w:w="2072" w:type="dxa"/>
            <w:tcBorders>
              <w:top w:val="single" w:color="auto" w:sz="4" w:space="0"/>
              <w:left w:val="single" w:color="auto" w:sz="4" w:space="0"/>
              <w:bottom w:val="single" w:color="auto" w:sz="4" w:space="0"/>
              <w:right w:val="single" w:color="auto" w:sz="4" w:space="0"/>
            </w:tcBorders>
            <w:noWrap w:val="0"/>
            <w:vAlign w:val="center"/>
          </w:tcPr>
          <w:p w14:paraId="09BCADBB">
            <w:pPr>
              <w:spacing w:line="380" w:lineRule="exact"/>
              <w:jc w:val="center"/>
              <w:rPr>
                <w:rFonts w:hint="eastAsia" w:ascii="Times New Roman" w:hAnsi="Times New Roman" w:eastAsia="仿宋" w:cs="仿宋"/>
                <w:color w:val="000000"/>
              </w:rPr>
            </w:pPr>
            <w:r>
              <w:rPr>
                <w:rFonts w:hint="eastAsia" w:ascii="Times New Roman" w:hAnsi="Times New Roman" w:eastAsia="仿宋" w:cs="仿宋"/>
                <w:color w:val="000000"/>
              </w:rPr>
              <w:t>比选文件要求</w:t>
            </w:r>
          </w:p>
        </w:tc>
        <w:tc>
          <w:tcPr>
            <w:tcW w:w="2247" w:type="dxa"/>
            <w:tcBorders>
              <w:top w:val="single" w:color="auto" w:sz="4" w:space="0"/>
              <w:left w:val="single" w:color="auto" w:sz="4" w:space="0"/>
              <w:bottom w:val="single" w:color="auto" w:sz="4" w:space="0"/>
              <w:right w:val="single" w:color="auto" w:sz="4" w:space="0"/>
            </w:tcBorders>
            <w:noWrap w:val="0"/>
            <w:vAlign w:val="center"/>
          </w:tcPr>
          <w:p w14:paraId="0F2FF432">
            <w:pPr>
              <w:spacing w:line="380" w:lineRule="exact"/>
              <w:jc w:val="center"/>
              <w:rPr>
                <w:rFonts w:hint="eastAsia" w:ascii="Times New Roman" w:hAnsi="Times New Roman" w:eastAsia="仿宋" w:cs="仿宋"/>
                <w:color w:val="000000"/>
              </w:rPr>
            </w:pPr>
            <w:r>
              <w:rPr>
                <w:rFonts w:hint="eastAsia" w:ascii="Times New Roman" w:hAnsi="Times New Roman" w:eastAsia="仿宋" w:cs="仿宋"/>
                <w:color w:val="000000"/>
              </w:rPr>
              <w:t>参选响应承诺</w:t>
            </w:r>
          </w:p>
        </w:tc>
        <w:tc>
          <w:tcPr>
            <w:tcW w:w="2247" w:type="dxa"/>
            <w:tcBorders>
              <w:top w:val="single" w:color="auto" w:sz="4" w:space="0"/>
              <w:left w:val="single" w:color="auto" w:sz="4" w:space="0"/>
              <w:bottom w:val="single" w:color="auto" w:sz="4" w:space="0"/>
              <w:right w:val="single" w:color="auto" w:sz="4" w:space="0"/>
            </w:tcBorders>
            <w:noWrap w:val="0"/>
            <w:vAlign w:val="center"/>
          </w:tcPr>
          <w:p w14:paraId="151ECB9A">
            <w:pPr>
              <w:spacing w:line="380" w:lineRule="exact"/>
              <w:jc w:val="center"/>
              <w:rPr>
                <w:rFonts w:hint="eastAsia" w:ascii="Times New Roman" w:hAnsi="Times New Roman" w:eastAsia="仿宋" w:cs="仿宋"/>
                <w:color w:val="000000"/>
              </w:rPr>
            </w:pPr>
            <w:r>
              <w:rPr>
                <w:rFonts w:hint="eastAsia" w:ascii="Times New Roman" w:hAnsi="Times New Roman" w:eastAsia="仿宋" w:cs="仿宋"/>
                <w:color w:val="000000"/>
              </w:rPr>
              <w:t>偏离说明</w:t>
            </w:r>
          </w:p>
        </w:tc>
      </w:tr>
      <w:tr w14:paraId="1679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1257" w:type="dxa"/>
            <w:tcBorders>
              <w:top w:val="single" w:color="auto" w:sz="4" w:space="0"/>
              <w:left w:val="single" w:color="auto" w:sz="4" w:space="0"/>
              <w:bottom w:val="single" w:color="auto" w:sz="4" w:space="0"/>
              <w:right w:val="single" w:color="auto" w:sz="4" w:space="0"/>
            </w:tcBorders>
            <w:noWrap w:val="0"/>
            <w:vAlign w:val="top"/>
          </w:tcPr>
          <w:p w14:paraId="185903CC">
            <w:pPr>
              <w:spacing w:line="380" w:lineRule="exact"/>
              <w:rPr>
                <w:rFonts w:ascii="Times New Roman" w:hAnsi="Times New Roman"/>
                <w:color w:val="000000"/>
              </w:rPr>
            </w:pPr>
          </w:p>
        </w:tc>
        <w:tc>
          <w:tcPr>
            <w:tcW w:w="1517" w:type="dxa"/>
            <w:tcBorders>
              <w:top w:val="single" w:color="auto" w:sz="4" w:space="0"/>
              <w:left w:val="single" w:color="auto" w:sz="4" w:space="0"/>
              <w:bottom w:val="single" w:color="auto" w:sz="4" w:space="0"/>
              <w:right w:val="single" w:color="auto" w:sz="4" w:space="0"/>
            </w:tcBorders>
            <w:noWrap w:val="0"/>
            <w:vAlign w:val="top"/>
          </w:tcPr>
          <w:p w14:paraId="09F2E695">
            <w:pPr>
              <w:spacing w:line="380" w:lineRule="exact"/>
              <w:rPr>
                <w:rFonts w:ascii="Times New Roman" w:hAnsi="Times New Roman"/>
                <w:color w:val="000000"/>
              </w:rPr>
            </w:pPr>
          </w:p>
        </w:tc>
        <w:tc>
          <w:tcPr>
            <w:tcW w:w="2072" w:type="dxa"/>
            <w:tcBorders>
              <w:top w:val="single" w:color="auto" w:sz="4" w:space="0"/>
              <w:left w:val="single" w:color="auto" w:sz="4" w:space="0"/>
              <w:bottom w:val="single" w:color="auto" w:sz="4" w:space="0"/>
              <w:right w:val="single" w:color="auto" w:sz="4" w:space="0"/>
            </w:tcBorders>
            <w:noWrap w:val="0"/>
            <w:vAlign w:val="top"/>
          </w:tcPr>
          <w:p w14:paraId="713B526E">
            <w:pPr>
              <w:spacing w:line="380" w:lineRule="exact"/>
              <w:rPr>
                <w:rFonts w:ascii="Times New Roman" w:hAnsi="Times New Roman"/>
                <w:color w:val="000000"/>
              </w:rPr>
            </w:pPr>
          </w:p>
        </w:tc>
        <w:tc>
          <w:tcPr>
            <w:tcW w:w="2247" w:type="dxa"/>
            <w:tcBorders>
              <w:top w:val="single" w:color="auto" w:sz="4" w:space="0"/>
              <w:left w:val="single" w:color="auto" w:sz="4" w:space="0"/>
              <w:bottom w:val="single" w:color="auto" w:sz="4" w:space="0"/>
              <w:right w:val="single" w:color="auto" w:sz="4" w:space="0"/>
            </w:tcBorders>
            <w:noWrap w:val="0"/>
            <w:vAlign w:val="top"/>
          </w:tcPr>
          <w:p w14:paraId="16C09EA6">
            <w:pPr>
              <w:spacing w:line="380" w:lineRule="exact"/>
              <w:rPr>
                <w:rFonts w:ascii="Times New Roman" w:hAnsi="Times New Roman"/>
                <w:color w:val="000000"/>
              </w:rPr>
            </w:pPr>
          </w:p>
        </w:tc>
        <w:tc>
          <w:tcPr>
            <w:tcW w:w="2247" w:type="dxa"/>
            <w:tcBorders>
              <w:top w:val="single" w:color="auto" w:sz="4" w:space="0"/>
              <w:left w:val="single" w:color="auto" w:sz="4" w:space="0"/>
              <w:bottom w:val="single" w:color="auto" w:sz="4" w:space="0"/>
              <w:right w:val="single" w:color="auto" w:sz="4" w:space="0"/>
            </w:tcBorders>
            <w:noWrap w:val="0"/>
            <w:vAlign w:val="top"/>
          </w:tcPr>
          <w:p w14:paraId="1A1516B9">
            <w:pPr>
              <w:spacing w:line="380" w:lineRule="exact"/>
              <w:rPr>
                <w:rFonts w:ascii="Times New Roman" w:hAnsi="Times New Roman"/>
                <w:color w:val="000000"/>
              </w:rPr>
            </w:pPr>
          </w:p>
        </w:tc>
      </w:tr>
      <w:tr w14:paraId="1E8E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257" w:type="dxa"/>
            <w:tcBorders>
              <w:top w:val="single" w:color="auto" w:sz="4" w:space="0"/>
              <w:left w:val="single" w:color="auto" w:sz="4" w:space="0"/>
              <w:bottom w:val="single" w:color="auto" w:sz="4" w:space="0"/>
              <w:right w:val="single" w:color="auto" w:sz="4" w:space="0"/>
            </w:tcBorders>
            <w:noWrap w:val="0"/>
            <w:vAlign w:val="top"/>
          </w:tcPr>
          <w:p w14:paraId="35D2D976">
            <w:pPr>
              <w:spacing w:line="380" w:lineRule="exact"/>
              <w:rPr>
                <w:rFonts w:ascii="Times New Roman" w:hAnsi="Times New Roman"/>
                <w:color w:val="000000"/>
              </w:rPr>
            </w:pPr>
          </w:p>
        </w:tc>
        <w:tc>
          <w:tcPr>
            <w:tcW w:w="1517" w:type="dxa"/>
            <w:tcBorders>
              <w:top w:val="single" w:color="auto" w:sz="4" w:space="0"/>
              <w:left w:val="single" w:color="auto" w:sz="4" w:space="0"/>
              <w:bottom w:val="single" w:color="auto" w:sz="4" w:space="0"/>
              <w:right w:val="single" w:color="auto" w:sz="4" w:space="0"/>
            </w:tcBorders>
            <w:noWrap w:val="0"/>
            <w:vAlign w:val="top"/>
          </w:tcPr>
          <w:p w14:paraId="5A7216A2">
            <w:pPr>
              <w:spacing w:line="380" w:lineRule="exact"/>
              <w:rPr>
                <w:rFonts w:ascii="Times New Roman" w:hAnsi="Times New Roman"/>
                <w:color w:val="000000"/>
              </w:rPr>
            </w:pPr>
          </w:p>
        </w:tc>
        <w:tc>
          <w:tcPr>
            <w:tcW w:w="2072" w:type="dxa"/>
            <w:tcBorders>
              <w:top w:val="single" w:color="auto" w:sz="4" w:space="0"/>
              <w:left w:val="single" w:color="auto" w:sz="4" w:space="0"/>
              <w:bottom w:val="single" w:color="auto" w:sz="4" w:space="0"/>
              <w:right w:val="single" w:color="auto" w:sz="4" w:space="0"/>
            </w:tcBorders>
            <w:noWrap w:val="0"/>
            <w:vAlign w:val="top"/>
          </w:tcPr>
          <w:p w14:paraId="59D763CD">
            <w:pPr>
              <w:spacing w:line="380" w:lineRule="exact"/>
              <w:rPr>
                <w:rFonts w:ascii="Times New Roman" w:hAnsi="Times New Roman"/>
                <w:color w:val="000000"/>
              </w:rPr>
            </w:pPr>
          </w:p>
        </w:tc>
        <w:tc>
          <w:tcPr>
            <w:tcW w:w="2247" w:type="dxa"/>
            <w:tcBorders>
              <w:top w:val="single" w:color="auto" w:sz="4" w:space="0"/>
              <w:left w:val="single" w:color="auto" w:sz="4" w:space="0"/>
              <w:bottom w:val="single" w:color="auto" w:sz="4" w:space="0"/>
              <w:right w:val="single" w:color="auto" w:sz="4" w:space="0"/>
            </w:tcBorders>
            <w:noWrap w:val="0"/>
            <w:vAlign w:val="top"/>
          </w:tcPr>
          <w:p w14:paraId="5F69F349">
            <w:pPr>
              <w:spacing w:line="380" w:lineRule="exact"/>
              <w:rPr>
                <w:rFonts w:ascii="Times New Roman" w:hAnsi="Times New Roman"/>
                <w:color w:val="000000"/>
              </w:rPr>
            </w:pPr>
          </w:p>
        </w:tc>
        <w:tc>
          <w:tcPr>
            <w:tcW w:w="2247" w:type="dxa"/>
            <w:tcBorders>
              <w:top w:val="single" w:color="auto" w:sz="4" w:space="0"/>
              <w:left w:val="single" w:color="auto" w:sz="4" w:space="0"/>
              <w:bottom w:val="single" w:color="auto" w:sz="4" w:space="0"/>
              <w:right w:val="single" w:color="auto" w:sz="4" w:space="0"/>
            </w:tcBorders>
            <w:noWrap w:val="0"/>
            <w:vAlign w:val="top"/>
          </w:tcPr>
          <w:p w14:paraId="60BECB03">
            <w:pPr>
              <w:spacing w:line="380" w:lineRule="exact"/>
              <w:rPr>
                <w:rFonts w:ascii="Times New Roman" w:hAnsi="Times New Roman"/>
                <w:color w:val="000000"/>
              </w:rPr>
            </w:pPr>
          </w:p>
        </w:tc>
      </w:tr>
      <w:tr w14:paraId="4A8A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1257" w:type="dxa"/>
            <w:tcBorders>
              <w:top w:val="single" w:color="auto" w:sz="4" w:space="0"/>
              <w:left w:val="single" w:color="auto" w:sz="4" w:space="0"/>
              <w:bottom w:val="single" w:color="auto" w:sz="4" w:space="0"/>
              <w:right w:val="single" w:color="auto" w:sz="4" w:space="0"/>
            </w:tcBorders>
            <w:noWrap w:val="0"/>
            <w:vAlign w:val="top"/>
          </w:tcPr>
          <w:p w14:paraId="2F0F505B">
            <w:pPr>
              <w:spacing w:line="380" w:lineRule="exact"/>
              <w:rPr>
                <w:rFonts w:ascii="Times New Roman" w:hAnsi="Times New Roman"/>
                <w:color w:val="000000"/>
              </w:rPr>
            </w:pPr>
          </w:p>
        </w:tc>
        <w:tc>
          <w:tcPr>
            <w:tcW w:w="1517" w:type="dxa"/>
            <w:tcBorders>
              <w:top w:val="single" w:color="auto" w:sz="4" w:space="0"/>
              <w:left w:val="single" w:color="auto" w:sz="4" w:space="0"/>
              <w:bottom w:val="single" w:color="auto" w:sz="4" w:space="0"/>
              <w:right w:val="single" w:color="auto" w:sz="4" w:space="0"/>
            </w:tcBorders>
            <w:noWrap w:val="0"/>
            <w:vAlign w:val="top"/>
          </w:tcPr>
          <w:p w14:paraId="1C1C3B4D">
            <w:pPr>
              <w:spacing w:line="380" w:lineRule="exact"/>
              <w:rPr>
                <w:rFonts w:ascii="Times New Roman" w:hAnsi="Times New Roman"/>
                <w:color w:val="000000"/>
              </w:rPr>
            </w:pPr>
          </w:p>
        </w:tc>
        <w:tc>
          <w:tcPr>
            <w:tcW w:w="2072" w:type="dxa"/>
            <w:tcBorders>
              <w:top w:val="single" w:color="auto" w:sz="4" w:space="0"/>
              <w:left w:val="single" w:color="auto" w:sz="4" w:space="0"/>
              <w:bottom w:val="single" w:color="auto" w:sz="4" w:space="0"/>
              <w:right w:val="single" w:color="auto" w:sz="4" w:space="0"/>
            </w:tcBorders>
            <w:noWrap w:val="0"/>
            <w:vAlign w:val="top"/>
          </w:tcPr>
          <w:p w14:paraId="0FF06C0F">
            <w:pPr>
              <w:spacing w:line="380" w:lineRule="exact"/>
              <w:rPr>
                <w:rFonts w:ascii="Times New Roman" w:hAnsi="Times New Roman"/>
                <w:color w:val="000000"/>
              </w:rPr>
            </w:pPr>
          </w:p>
        </w:tc>
        <w:tc>
          <w:tcPr>
            <w:tcW w:w="2247" w:type="dxa"/>
            <w:tcBorders>
              <w:top w:val="single" w:color="auto" w:sz="4" w:space="0"/>
              <w:left w:val="single" w:color="auto" w:sz="4" w:space="0"/>
              <w:bottom w:val="single" w:color="auto" w:sz="4" w:space="0"/>
              <w:right w:val="single" w:color="auto" w:sz="4" w:space="0"/>
            </w:tcBorders>
            <w:noWrap w:val="0"/>
            <w:vAlign w:val="top"/>
          </w:tcPr>
          <w:p w14:paraId="4AFAAC11">
            <w:pPr>
              <w:spacing w:line="380" w:lineRule="exact"/>
              <w:rPr>
                <w:rFonts w:ascii="Times New Roman" w:hAnsi="Times New Roman"/>
                <w:color w:val="000000"/>
              </w:rPr>
            </w:pPr>
          </w:p>
        </w:tc>
        <w:tc>
          <w:tcPr>
            <w:tcW w:w="2247" w:type="dxa"/>
            <w:tcBorders>
              <w:top w:val="single" w:color="auto" w:sz="4" w:space="0"/>
              <w:left w:val="single" w:color="auto" w:sz="4" w:space="0"/>
              <w:bottom w:val="single" w:color="auto" w:sz="4" w:space="0"/>
              <w:right w:val="single" w:color="auto" w:sz="4" w:space="0"/>
            </w:tcBorders>
            <w:noWrap w:val="0"/>
            <w:vAlign w:val="top"/>
          </w:tcPr>
          <w:p w14:paraId="2CC3E44A">
            <w:pPr>
              <w:spacing w:line="380" w:lineRule="exact"/>
              <w:rPr>
                <w:rFonts w:ascii="Times New Roman" w:hAnsi="Times New Roman"/>
                <w:color w:val="000000"/>
              </w:rPr>
            </w:pPr>
          </w:p>
        </w:tc>
      </w:tr>
      <w:tr w14:paraId="78B9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1257" w:type="dxa"/>
            <w:tcBorders>
              <w:top w:val="single" w:color="auto" w:sz="4" w:space="0"/>
              <w:left w:val="single" w:color="auto" w:sz="4" w:space="0"/>
              <w:bottom w:val="single" w:color="auto" w:sz="4" w:space="0"/>
              <w:right w:val="single" w:color="auto" w:sz="4" w:space="0"/>
            </w:tcBorders>
            <w:noWrap w:val="0"/>
            <w:vAlign w:val="top"/>
          </w:tcPr>
          <w:p w14:paraId="0EFF950A">
            <w:pPr>
              <w:spacing w:line="380" w:lineRule="exact"/>
              <w:rPr>
                <w:rFonts w:ascii="Times New Roman" w:hAnsi="Times New Roman"/>
                <w:color w:val="000000"/>
              </w:rPr>
            </w:pPr>
          </w:p>
        </w:tc>
        <w:tc>
          <w:tcPr>
            <w:tcW w:w="1517" w:type="dxa"/>
            <w:tcBorders>
              <w:top w:val="single" w:color="auto" w:sz="4" w:space="0"/>
              <w:left w:val="single" w:color="auto" w:sz="4" w:space="0"/>
              <w:bottom w:val="single" w:color="auto" w:sz="4" w:space="0"/>
              <w:right w:val="single" w:color="auto" w:sz="4" w:space="0"/>
            </w:tcBorders>
            <w:noWrap w:val="0"/>
            <w:vAlign w:val="top"/>
          </w:tcPr>
          <w:p w14:paraId="2F2A706A">
            <w:pPr>
              <w:spacing w:line="380" w:lineRule="exact"/>
              <w:rPr>
                <w:rFonts w:ascii="Times New Roman" w:hAnsi="Times New Roman"/>
                <w:color w:val="000000"/>
              </w:rPr>
            </w:pPr>
          </w:p>
        </w:tc>
        <w:tc>
          <w:tcPr>
            <w:tcW w:w="2072" w:type="dxa"/>
            <w:tcBorders>
              <w:top w:val="single" w:color="auto" w:sz="4" w:space="0"/>
              <w:left w:val="single" w:color="auto" w:sz="4" w:space="0"/>
              <w:bottom w:val="single" w:color="auto" w:sz="4" w:space="0"/>
              <w:right w:val="single" w:color="auto" w:sz="4" w:space="0"/>
            </w:tcBorders>
            <w:noWrap w:val="0"/>
            <w:vAlign w:val="top"/>
          </w:tcPr>
          <w:p w14:paraId="0548A0DE">
            <w:pPr>
              <w:spacing w:line="380" w:lineRule="exact"/>
              <w:rPr>
                <w:rFonts w:ascii="Times New Roman" w:hAnsi="Times New Roman"/>
                <w:color w:val="000000"/>
              </w:rPr>
            </w:pPr>
          </w:p>
        </w:tc>
        <w:tc>
          <w:tcPr>
            <w:tcW w:w="2247" w:type="dxa"/>
            <w:tcBorders>
              <w:top w:val="single" w:color="auto" w:sz="4" w:space="0"/>
              <w:left w:val="single" w:color="auto" w:sz="4" w:space="0"/>
              <w:bottom w:val="single" w:color="auto" w:sz="4" w:space="0"/>
              <w:right w:val="single" w:color="auto" w:sz="4" w:space="0"/>
            </w:tcBorders>
            <w:noWrap w:val="0"/>
            <w:vAlign w:val="top"/>
          </w:tcPr>
          <w:p w14:paraId="65CC6D9C">
            <w:pPr>
              <w:spacing w:line="380" w:lineRule="exact"/>
              <w:rPr>
                <w:rFonts w:ascii="Times New Roman" w:hAnsi="Times New Roman"/>
                <w:color w:val="000000"/>
              </w:rPr>
            </w:pPr>
          </w:p>
        </w:tc>
        <w:tc>
          <w:tcPr>
            <w:tcW w:w="2247" w:type="dxa"/>
            <w:tcBorders>
              <w:top w:val="single" w:color="auto" w:sz="4" w:space="0"/>
              <w:left w:val="single" w:color="auto" w:sz="4" w:space="0"/>
              <w:bottom w:val="single" w:color="auto" w:sz="4" w:space="0"/>
              <w:right w:val="single" w:color="auto" w:sz="4" w:space="0"/>
            </w:tcBorders>
            <w:noWrap w:val="0"/>
            <w:vAlign w:val="top"/>
          </w:tcPr>
          <w:p w14:paraId="41BBA7ED">
            <w:pPr>
              <w:spacing w:line="380" w:lineRule="exact"/>
              <w:rPr>
                <w:rFonts w:ascii="Times New Roman" w:hAnsi="Times New Roman"/>
                <w:color w:val="000000"/>
              </w:rPr>
            </w:pPr>
          </w:p>
        </w:tc>
      </w:tr>
    </w:tbl>
    <w:p w14:paraId="4B79DA01">
      <w:pPr>
        <w:pStyle w:val="25"/>
        <w:spacing w:before="0" w:after="0" w:afterLines="0"/>
        <w:rPr>
          <w:rFonts w:hint="eastAsia" w:ascii="Times New Roman" w:hAnsi="Times New Roman" w:eastAsia="仿宋" w:cs="宋体"/>
          <w:sz w:val="18"/>
          <w:szCs w:val="18"/>
        </w:rPr>
      </w:pPr>
    </w:p>
    <w:p w14:paraId="6C0C57DC">
      <w:pPr>
        <w:pStyle w:val="25"/>
        <w:spacing w:before="0" w:after="0" w:afterLines="0"/>
        <w:rPr>
          <w:rFonts w:ascii="Times New Roman" w:hAnsi="Times New Roman" w:eastAsia="仿宋" w:cs="宋体"/>
          <w:kern w:val="2"/>
          <w:sz w:val="21"/>
        </w:rPr>
      </w:pPr>
      <w:r>
        <w:rPr>
          <w:rFonts w:hint="eastAsia" w:ascii="Times New Roman" w:hAnsi="Times New Roman" w:eastAsia="仿宋" w:cs="宋体"/>
          <w:sz w:val="21"/>
        </w:rPr>
        <w:t>注：本比选文件（含资格、须知、服务内容及要求、技术、商务、合同条款要求等）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规格和商务偏离表”中加以如实详细说明，否则，参选人中选后才提出或者被比选人发现的任何负偏离或不响应或不满足均视为中选人违约，按参选人虚假承诺骗取中选处理，参选人将取消其中选人资格，给比选人造成损失的，还必须进行赔偿并负相关责任。</w:t>
      </w:r>
    </w:p>
    <w:p w14:paraId="624CDFC2">
      <w:pPr>
        <w:pStyle w:val="25"/>
        <w:spacing w:before="0" w:after="0" w:afterLines="0"/>
        <w:rPr>
          <w:rFonts w:ascii="Times New Roman" w:hAnsi="Times New Roman" w:eastAsia="仿宋" w:cs="宋体"/>
          <w:kern w:val="2"/>
          <w:szCs w:val="24"/>
        </w:rPr>
      </w:pPr>
    </w:p>
    <w:p w14:paraId="26B49B2E">
      <w:pPr>
        <w:pStyle w:val="25"/>
        <w:spacing w:before="0" w:after="0" w:afterLines="0"/>
        <w:rPr>
          <w:rFonts w:ascii="Times New Roman" w:hAnsi="Times New Roman" w:eastAsia="仿宋" w:cs="宋体"/>
          <w:kern w:val="2"/>
          <w:szCs w:val="24"/>
        </w:rPr>
      </w:pPr>
      <w:r>
        <w:rPr>
          <w:rFonts w:hint="eastAsia" w:ascii="Times New Roman" w:hAnsi="Times New Roman" w:eastAsia="仿宋" w:cs="宋体"/>
          <w:kern w:val="2"/>
        </w:rPr>
        <w:t>参选人全称（盖公章）：</w:t>
      </w:r>
    </w:p>
    <w:p w14:paraId="5E8E03E5">
      <w:pPr>
        <w:spacing w:before="120" w:after="120" w:line="360" w:lineRule="auto"/>
        <w:rPr>
          <w:rFonts w:ascii="Times New Roman" w:hAnsi="Times New Roman" w:eastAsia="仿宋"/>
          <w:u w:val="single"/>
        </w:rPr>
      </w:pPr>
      <w:r>
        <w:rPr>
          <w:rFonts w:hint="eastAsia" w:ascii="Times New Roman" w:hAnsi="Times New Roman" w:eastAsia="仿宋"/>
        </w:rPr>
        <w:t>参选人代表签字或盖章：</w:t>
      </w:r>
      <w:r>
        <w:rPr>
          <w:rFonts w:hint="eastAsia" w:ascii="Times New Roman" w:hAnsi="Times New Roman" w:eastAsia="仿宋"/>
          <w:color w:val="FF0000"/>
        </w:rPr>
        <w:t xml:space="preserve">     </w:t>
      </w:r>
      <w:r>
        <w:rPr>
          <w:rFonts w:hint="eastAsia" w:ascii="Times New Roman" w:hAnsi="Times New Roman" w:eastAsia="仿宋"/>
          <w:u w:val="single"/>
        </w:rPr>
        <w:t xml:space="preserve">                      </w:t>
      </w:r>
    </w:p>
    <w:p w14:paraId="00D2548D">
      <w:pPr>
        <w:spacing w:line="360" w:lineRule="auto"/>
        <w:rPr>
          <w:rFonts w:ascii="Times New Roman" w:hAnsi="Times New Roman" w:eastAsia="仿宋"/>
        </w:rPr>
      </w:pPr>
      <w:r>
        <w:rPr>
          <w:rFonts w:hint="eastAsia" w:ascii="Times New Roman" w:hAnsi="Times New Roman" w:eastAsia="仿宋"/>
        </w:rPr>
        <w:t>职    务：</w:t>
      </w:r>
    </w:p>
    <w:p w14:paraId="25DD3805">
      <w:pPr>
        <w:spacing w:line="360" w:lineRule="auto"/>
        <w:rPr>
          <w:rFonts w:ascii="Times New Roman" w:hAnsi="Times New Roman" w:eastAsia="仿宋"/>
        </w:rPr>
      </w:pPr>
      <w:r>
        <w:rPr>
          <w:rFonts w:hint="eastAsia" w:ascii="Times New Roman" w:hAnsi="Times New Roman" w:eastAsia="仿宋"/>
        </w:rPr>
        <w:t>日    期：     年   月   日</w:t>
      </w:r>
    </w:p>
    <w:p w14:paraId="19B3CC12">
      <w:pPr>
        <w:tabs>
          <w:tab w:val="left" w:pos="5580"/>
        </w:tabs>
        <w:spacing w:before="120" w:line="360" w:lineRule="auto"/>
        <w:outlineLvl w:val="3"/>
        <w:rPr>
          <w:rFonts w:ascii="Times New Roman" w:hAnsi="Times New Roman" w:eastAsia="仿宋"/>
          <w:b/>
        </w:rPr>
        <w:sectPr>
          <w:pgSz w:w="11906" w:h="16838"/>
          <w:pgMar w:top="1440" w:right="1800" w:bottom="1440" w:left="1800" w:header="851" w:footer="992" w:gutter="0"/>
          <w:pgNumType w:fmt="decimal"/>
          <w:cols w:space="720" w:num="1"/>
          <w:docGrid w:type="lines" w:linePitch="312" w:charSpace="0"/>
        </w:sectPr>
      </w:pPr>
    </w:p>
    <w:p w14:paraId="4D5AFF2C">
      <w:pPr>
        <w:jc w:val="both"/>
        <w:outlineLvl w:val="0"/>
        <w:rPr>
          <w:rFonts w:hint="eastAsia" w:ascii="Times New Roman" w:hAnsi="Times New Roman" w:eastAsia="仿宋" w:cs="仿宋"/>
          <w:b/>
          <w:bCs/>
          <w:sz w:val="44"/>
          <w:szCs w:val="44"/>
        </w:rPr>
      </w:pPr>
      <w:bookmarkStart w:id="458" w:name="_Toc13668"/>
      <w:bookmarkStart w:id="459" w:name="_Toc21172"/>
      <w:bookmarkStart w:id="460" w:name="_Toc18574"/>
      <w:bookmarkStart w:id="461" w:name="_Toc27038"/>
      <w:bookmarkStart w:id="462" w:name="_Toc14285"/>
      <w:r>
        <w:rPr>
          <w:rFonts w:hint="eastAsia" w:ascii="Times New Roman" w:hAnsi="Times New Roman" w:eastAsia="仿宋" w:cs="仿宋"/>
          <w:b/>
          <w:bCs/>
          <w:color w:val="000000"/>
          <w:sz w:val="44"/>
          <w:szCs w:val="44"/>
        </w:rPr>
        <w:t>附件十</w:t>
      </w:r>
      <w:r>
        <w:rPr>
          <w:rFonts w:hint="eastAsia" w:ascii="Times New Roman" w:hAnsi="Times New Roman" w:eastAsia="仿宋" w:cs="仿宋"/>
          <w:b/>
          <w:bCs/>
          <w:color w:val="000000"/>
          <w:sz w:val="44"/>
          <w:szCs w:val="44"/>
          <w:lang w:val="en-US" w:eastAsia="zh-CN"/>
        </w:rPr>
        <w:t xml:space="preserve"> </w:t>
      </w:r>
      <w:r>
        <w:rPr>
          <w:rFonts w:hint="eastAsia" w:ascii="Times New Roman" w:hAnsi="Times New Roman" w:eastAsia="仿宋" w:cs="仿宋"/>
          <w:b/>
          <w:bCs/>
          <w:color w:val="000000"/>
          <w:sz w:val="44"/>
          <w:szCs w:val="44"/>
        </w:rPr>
        <w:t>商务评分标准对照情况点对点应答表</w:t>
      </w:r>
      <w:bookmarkEnd w:id="458"/>
      <w:bookmarkEnd w:id="459"/>
      <w:bookmarkEnd w:id="460"/>
      <w:bookmarkEnd w:id="461"/>
    </w:p>
    <w:p w14:paraId="7D45DA5A">
      <w:pPr>
        <w:jc w:val="center"/>
        <w:rPr>
          <w:rFonts w:hint="eastAsia" w:ascii="Times New Roman" w:hAnsi="Times New Roman" w:eastAsia="黑体" w:cs="黑体"/>
          <w:sz w:val="32"/>
          <w:szCs w:val="32"/>
        </w:rPr>
      </w:pPr>
      <w:r>
        <w:rPr>
          <w:rFonts w:hint="eastAsia" w:ascii="Times New Roman" w:hAnsi="Times New Roman" w:eastAsia="黑体" w:cs="黑体"/>
          <w:sz w:val="32"/>
          <w:szCs w:val="32"/>
        </w:rPr>
        <w:t>商务评分标准对照情况点对点应答表</w:t>
      </w:r>
      <w:bookmarkEnd w:id="462"/>
    </w:p>
    <w:p w14:paraId="68F37565">
      <w:pPr>
        <w:jc w:val="both"/>
        <w:rPr>
          <w:rFonts w:ascii="Times New Roman" w:hAnsi="Times New Roman"/>
        </w:rPr>
      </w:pPr>
    </w:p>
    <w:p w14:paraId="03181E68">
      <w:pPr>
        <w:rPr>
          <w:rFonts w:hint="eastAsia" w:ascii="Times New Roman" w:hAnsi="Times New Roman" w:eastAsia="仿宋" w:cs="仿宋"/>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4319"/>
        <w:gridCol w:w="1729"/>
      </w:tblGrid>
      <w:tr w14:paraId="3780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3" w:type="dxa"/>
            <w:noWrap w:val="0"/>
            <w:vAlign w:val="top"/>
          </w:tcPr>
          <w:p w14:paraId="230930E1">
            <w:pPr>
              <w:widowControl w:val="0"/>
              <w:jc w:val="center"/>
              <w:rPr>
                <w:rFonts w:hint="eastAsia" w:ascii="Times New Roman" w:hAnsi="Times New Roman" w:eastAsia="仿宋" w:cs="仿宋"/>
              </w:rPr>
            </w:pPr>
            <w:r>
              <w:rPr>
                <w:rFonts w:hint="eastAsia" w:ascii="Times New Roman" w:hAnsi="Times New Roman" w:eastAsia="仿宋" w:cs="仿宋"/>
              </w:rPr>
              <w:t>商务部分评分内容</w:t>
            </w:r>
          </w:p>
        </w:tc>
        <w:tc>
          <w:tcPr>
            <w:tcW w:w="4319" w:type="dxa"/>
            <w:noWrap w:val="0"/>
            <w:vAlign w:val="top"/>
          </w:tcPr>
          <w:p w14:paraId="38583A6A">
            <w:pPr>
              <w:widowControl w:val="0"/>
              <w:jc w:val="center"/>
              <w:rPr>
                <w:rFonts w:hint="eastAsia" w:ascii="Times New Roman" w:hAnsi="Times New Roman" w:eastAsia="仿宋" w:cs="仿宋"/>
              </w:rPr>
            </w:pPr>
            <w:r>
              <w:rPr>
                <w:rFonts w:hint="eastAsia" w:ascii="Times New Roman" w:hAnsi="Times New Roman" w:eastAsia="仿宋" w:cs="仿宋"/>
              </w:rPr>
              <w:t>参选响应情况（具体内容或相应资料证明可以索引至参选文件中相应页码）</w:t>
            </w:r>
          </w:p>
        </w:tc>
        <w:tc>
          <w:tcPr>
            <w:tcW w:w="1729" w:type="dxa"/>
            <w:noWrap w:val="0"/>
            <w:vAlign w:val="top"/>
          </w:tcPr>
          <w:p w14:paraId="321339AA">
            <w:pPr>
              <w:widowControl w:val="0"/>
              <w:jc w:val="center"/>
              <w:rPr>
                <w:rFonts w:hint="eastAsia" w:ascii="Times New Roman" w:hAnsi="Times New Roman" w:eastAsia="仿宋" w:cs="仿宋"/>
              </w:rPr>
            </w:pPr>
            <w:r>
              <w:rPr>
                <w:rFonts w:hint="eastAsia" w:ascii="Times New Roman" w:hAnsi="Times New Roman" w:eastAsia="仿宋" w:cs="仿宋"/>
              </w:rPr>
              <w:t>详见页码</w:t>
            </w:r>
          </w:p>
        </w:tc>
      </w:tr>
      <w:tr w14:paraId="5FB2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3" w:type="dxa"/>
            <w:noWrap w:val="0"/>
            <w:vAlign w:val="top"/>
          </w:tcPr>
          <w:p w14:paraId="0753AE86">
            <w:pPr>
              <w:widowControl w:val="0"/>
              <w:jc w:val="both"/>
              <w:rPr>
                <w:rFonts w:hint="eastAsia" w:ascii="Times New Roman" w:hAnsi="Times New Roman" w:eastAsia="仿宋" w:cs="仿宋"/>
                <w:sz w:val="28"/>
                <w:szCs w:val="28"/>
              </w:rPr>
            </w:pPr>
          </w:p>
        </w:tc>
        <w:tc>
          <w:tcPr>
            <w:tcW w:w="4319" w:type="dxa"/>
            <w:noWrap w:val="0"/>
            <w:vAlign w:val="top"/>
          </w:tcPr>
          <w:p w14:paraId="115CFE74">
            <w:pPr>
              <w:widowControl w:val="0"/>
              <w:jc w:val="both"/>
              <w:rPr>
                <w:rFonts w:hint="eastAsia" w:ascii="Times New Roman" w:hAnsi="Times New Roman" w:eastAsia="仿宋" w:cs="仿宋"/>
                <w:sz w:val="28"/>
                <w:szCs w:val="28"/>
              </w:rPr>
            </w:pPr>
          </w:p>
        </w:tc>
        <w:tc>
          <w:tcPr>
            <w:tcW w:w="1729" w:type="dxa"/>
            <w:noWrap w:val="0"/>
            <w:vAlign w:val="top"/>
          </w:tcPr>
          <w:p w14:paraId="15B7C196">
            <w:pPr>
              <w:widowControl w:val="0"/>
              <w:jc w:val="both"/>
              <w:rPr>
                <w:rFonts w:hint="eastAsia" w:ascii="Times New Roman" w:hAnsi="Times New Roman" w:eastAsia="仿宋" w:cs="仿宋"/>
                <w:sz w:val="28"/>
                <w:szCs w:val="28"/>
              </w:rPr>
            </w:pPr>
          </w:p>
        </w:tc>
      </w:tr>
      <w:tr w14:paraId="66438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3" w:type="dxa"/>
            <w:noWrap w:val="0"/>
            <w:vAlign w:val="top"/>
          </w:tcPr>
          <w:p w14:paraId="34EF4833">
            <w:pPr>
              <w:widowControl w:val="0"/>
              <w:jc w:val="both"/>
              <w:rPr>
                <w:rFonts w:hint="eastAsia" w:ascii="Times New Roman" w:hAnsi="Times New Roman" w:eastAsia="仿宋" w:cs="仿宋"/>
                <w:sz w:val="28"/>
                <w:szCs w:val="28"/>
              </w:rPr>
            </w:pPr>
          </w:p>
        </w:tc>
        <w:tc>
          <w:tcPr>
            <w:tcW w:w="4319" w:type="dxa"/>
            <w:noWrap w:val="0"/>
            <w:vAlign w:val="top"/>
          </w:tcPr>
          <w:p w14:paraId="2C5B10D0">
            <w:pPr>
              <w:widowControl w:val="0"/>
              <w:jc w:val="both"/>
              <w:rPr>
                <w:rFonts w:hint="eastAsia" w:ascii="Times New Roman" w:hAnsi="Times New Roman" w:eastAsia="仿宋" w:cs="仿宋"/>
                <w:sz w:val="28"/>
                <w:szCs w:val="28"/>
              </w:rPr>
            </w:pPr>
          </w:p>
        </w:tc>
        <w:tc>
          <w:tcPr>
            <w:tcW w:w="1729" w:type="dxa"/>
            <w:noWrap w:val="0"/>
            <w:vAlign w:val="top"/>
          </w:tcPr>
          <w:p w14:paraId="53239F89">
            <w:pPr>
              <w:widowControl w:val="0"/>
              <w:jc w:val="both"/>
              <w:rPr>
                <w:rFonts w:hint="eastAsia" w:ascii="Times New Roman" w:hAnsi="Times New Roman" w:eastAsia="仿宋" w:cs="仿宋"/>
                <w:sz w:val="28"/>
                <w:szCs w:val="28"/>
              </w:rPr>
            </w:pPr>
          </w:p>
        </w:tc>
      </w:tr>
      <w:tr w14:paraId="1578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3" w:type="dxa"/>
            <w:noWrap w:val="0"/>
            <w:vAlign w:val="top"/>
          </w:tcPr>
          <w:p w14:paraId="046CDD41">
            <w:pPr>
              <w:widowControl w:val="0"/>
              <w:jc w:val="both"/>
              <w:rPr>
                <w:rFonts w:hint="eastAsia" w:ascii="Times New Roman" w:hAnsi="Times New Roman" w:eastAsia="仿宋" w:cs="仿宋"/>
                <w:sz w:val="28"/>
                <w:szCs w:val="28"/>
              </w:rPr>
            </w:pPr>
          </w:p>
        </w:tc>
        <w:tc>
          <w:tcPr>
            <w:tcW w:w="4319" w:type="dxa"/>
            <w:noWrap w:val="0"/>
            <w:vAlign w:val="top"/>
          </w:tcPr>
          <w:p w14:paraId="1739BF4E">
            <w:pPr>
              <w:widowControl w:val="0"/>
              <w:jc w:val="both"/>
              <w:rPr>
                <w:rFonts w:hint="eastAsia" w:ascii="Times New Roman" w:hAnsi="Times New Roman" w:eastAsia="仿宋" w:cs="仿宋"/>
                <w:sz w:val="28"/>
                <w:szCs w:val="28"/>
              </w:rPr>
            </w:pPr>
          </w:p>
        </w:tc>
        <w:tc>
          <w:tcPr>
            <w:tcW w:w="1729" w:type="dxa"/>
            <w:noWrap w:val="0"/>
            <w:vAlign w:val="top"/>
          </w:tcPr>
          <w:p w14:paraId="45861E35">
            <w:pPr>
              <w:widowControl w:val="0"/>
              <w:jc w:val="both"/>
              <w:rPr>
                <w:rFonts w:hint="eastAsia" w:ascii="Times New Roman" w:hAnsi="Times New Roman" w:eastAsia="仿宋" w:cs="仿宋"/>
                <w:sz w:val="28"/>
                <w:szCs w:val="28"/>
              </w:rPr>
            </w:pPr>
          </w:p>
        </w:tc>
      </w:tr>
      <w:tr w14:paraId="6DB1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3" w:type="dxa"/>
            <w:noWrap w:val="0"/>
            <w:vAlign w:val="top"/>
          </w:tcPr>
          <w:p w14:paraId="4BB3E961">
            <w:pPr>
              <w:widowControl w:val="0"/>
              <w:jc w:val="both"/>
              <w:rPr>
                <w:rFonts w:hint="eastAsia" w:ascii="Times New Roman" w:hAnsi="Times New Roman" w:eastAsia="仿宋" w:cs="仿宋"/>
                <w:sz w:val="28"/>
                <w:szCs w:val="28"/>
              </w:rPr>
            </w:pPr>
          </w:p>
        </w:tc>
        <w:tc>
          <w:tcPr>
            <w:tcW w:w="4319" w:type="dxa"/>
            <w:noWrap w:val="0"/>
            <w:vAlign w:val="top"/>
          </w:tcPr>
          <w:p w14:paraId="3CA79C45">
            <w:pPr>
              <w:widowControl w:val="0"/>
              <w:jc w:val="both"/>
              <w:rPr>
                <w:rFonts w:hint="eastAsia" w:ascii="Times New Roman" w:hAnsi="Times New Roman" w:eastAsia="仿宋" w:cs="仿宋"/>
                <w:sz w:val="28"/>
                <w:szCs w:val="28"/>
              </w:rPr>
            </w:pPr>
          </w:p>
        </w:tc>
        <w:tc>
          <w:tcPr>
            <w:tcW w:w="1729" w:type="dxa"/>
            <w:noWrap w:val="0"/>
            <w:vAlign w:val="top"/>
          </w:tcPr>
          <w:p w14:paraId="28B60602">
            <w:pPr>
              <w:widowControl w:val="0"/>
              <w:jc w:val="both"/>
              <w:rPr>
                <w:rFonts w:hint="eastAsia" w:ascii="Times New Roman" w:hAnsi="Times New Roman" w:eastAsia="仿宋" w:cs="仿宋"/>
                <w:sz w:val="28"/>
                <w:szCs w:val="28"/>
              </w:rPr>
            </w:pPr>
          </w:p>
        </w:tc>
      </w:tr>
      <w:tr w14:paraId="2CA79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3" w:type="dxa"/>
            <w:noWrap w:val="0"/>
            <w:vAlign w:val="top"/>
          </w:tcPr>
          <w:p w14:paraId="4557064B">
            <w:pPr>
              <w:widowControl w:val="0"/>
              <w:jc w:val="both"/>
              <w:rPr>
                <w:rFonts w:hint="eastAsia" w:ascii="Times New Roman" w:hAnsi="Times New Roman" w:eastAsia="仿宋" w:cs="仿宋"/>
                <w:sz w:val="28"/>
                <w:szCs w:val="28"/>
              </w:rPr>
            </w:pPr>
          </w:p>
        </w:tc>
        <w:tc>
          <w:tcPr>
            <w:tcW w:w="4319" w:type="dxa"/>
            <w:noWrap w:val="0"/>
            <w:vAlign w:val="top"/>
          </w:tcPr>
          <w:p w14:paraId="062CF5A0">
            <w:pPr>
              <w:widowControl w:val="0"/>
              <w:jc w:val="both"/>
              <w:rPr>
                <w:rFonts w:hint="eastAsia" w:ascii="Times New Roman" w:hAnsi="Times New Roman" w:eastAsia="仿宋" w:cs="仿宋"/>
                <w:sz w:val="28"/>
                <w:szCs w:val="28"/>
              </w:rPr>
            </w:pPr>
          </w:p>
        </w:tc>
        <w:tc>
          <w:tcPr>
            <w:tcW w:w="1729" w:type="dxa"/>
            <w:noWrap w:val="0"/>
            <w:vAlign w:val="top"/>
          </w:tcPr>
          <w:p w14:paraId="192582D5">
            <w:pPr>
              <w:widowControl w:val="0"/>
              <w:jc w:val="both"/>
              <w:rPr>
                <w:rFonts w:hint="eastAsia" w:ascii="Times New Roman" w:hAnsi="Times New Roman" w:eastAsia="仿宋" w:cs="仿宋"/>
                <w:sz w:val="28"/>
                <w:szCs w:val="28"/>
              </w:rPr>
            </w:pPr>
          </w:p>
        </w:tc>
      </w:tr>
      <w:tr w14:paraId="0FCF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3" w:type="dxa"/>
            <w:noWrap w:val="0"/>
            <w:vAlign w:val="top"/>
          </w:tcPr>
          <w:p w14:paraId="6A4C45E6">
            <w:pPr>
              <w:widowControl w:val="0"/>
              <w:jc w:val="both"/>
              <w:rPr>
                <w:rFonts w:hint="eastAsia" w:ascii="Times New Roman" w:hAnsi="Times New Roman" w:eastAsia="仿宋" w:cs="仿宋"/>
                <w:sz w:val="28"/>
                <w:szCs w:val="28"/>
              </w:rPr>
            </w:pPr>
          </w:p>
        </w:tc>
        <w:tc>
          <w:tcPr>
            <w:tcW w:w="4319" w:type="dxa"/>
            <w:noWrap w:val="0"/>
            <w:vAlign w:val="top"/>
          </w:tcPr>
          <w:p w14:paraId="6CEF8646">
            <w:pPr>
              <w:widowControl w:val="0"/>
              <w:jc w:val="both"/>
              <w:rPr>
                <w:rFonts w:hint="eastAsia" w:ascii="Times New Roman" w:hAnsi="Times New Roman" w:eastAsia="仿宋" w:cs="仿宋"/>
                <w:sz w:val="28"/>
                <w:szCs w:val="28"/>
              </w:rPr>
            </w:pPr>
          </w:p>
        </w:tc>
        <w:tc>
          <w:tcPr>
            <w:tcW w:w="1729" w:type="dxa"/>
            <w:noWrap w:val="0"/>
            <w:vAlign w:val="top"/>
          </w:tcPr>
          <w:p w14:paraId="5A6C8701">
            <w:pPr>
              <w:widowControl w:val="0"/>
              <w:jc w:val="both"/>
              <w:rPr>
                <w:rFonts w:hint="eastAsia" w:ascii="Times New Roman" w:hAnsi="Times New Roman" w:eastAsia="仿宋" w:cs="仿宋"/>
                <w:sz w:val="28"/>
                <w:szCs w:val="28"/>
              </w:rPr>
            </w:pPr>
          </w:p>
        </w:tc>
      </w:tr>
    </w:tbl>
    <w:p w14:paraId="7AFFA4D1">
      <w:pPr>
        <w:rPr>
          <w:rFonts w:ascii="Times New Roman" w:hAnsi="Times New Roman"/>
        </w:rPr>
      </w:pPr>
    </w:p>
    <w:p w14:paraId="12B42F51">
      <w:pPr>
        <w:rPr>
          <w:rFonts w:hint="eastAsia" w:ascii="Times New Roman" w:hAnsi="Times New Roman" w:eastAsia="仿宋" w:cs="仿宋"/>
        </w:rPr>
      </w:pPr>
      <w:r>
        <w:rPr>
          <w:rFonts w:hint="eastAsia" w:ascii="Times New Roman" w:hAnsi="Times New Roman" w:eastAsia="仿宋" w:cs="仿宋"/>
        </w:rPr>
        <w:t>备注：</w:t>
      </w:r>
    </w:p>
    <w:p w14:paraId="090A0CFB">
      <w:pPr>
        <w:rPr>
          <w:rFonts w:hint="eastAsia" w:ascii="Times New Roman" w:hAnsi="Times New Roman" w:eastAsia="仿宋" w:cs="仿宋"/>
        </w:rPr>
      </w:pPr>
      <w:r>
        <w:rPr>
          <w:rFonts w:hint="eastAsia" w:ascii="Times New Roman" w:hAnsi="Times New Roman" w:eastAsia="仿宋" w:cs="仿宋"/>
        </w:rPr>
        <w:t>①参选人必须对自已所投产品或自身是否满足相关评分项目，在参选文件中逐项做出如实明确的应答，表明是否满足或正负偏离。</w:t>
      </w:r>
    </w:p>
    <w:p w14:paraId="016A4D62">
      <w:pPr>
        <w:rPr>
          <w:rFonts w:hint="eastAsia" w:ascii="Times New Roman" w:hAnsi="Times New Roman" w:eastAsia="仿宋" w:cs="仿宋"/>
        </w:rPr>
      </w:pPr>
      <w:r>
        <w:rPr>
          <w:rFonts w:hint="eastAsia" w:ascii="Times New Roman" w:hAnsi="Times New Roman" w:eastAsia="仿宋" w:cs="仿宋"/>
        </w:rPr>
        <w:t>②参选人应将比选文件中要求的如：各类证书等装订编列章节，并编制页码索引。同时参选人应在参选文件的应答部分明确说明各文件所在页码；以方便比选小组逐项翻阅查询。</w:t>
      </w:r>
    </w:p>
    <w:p w14:paraId="20127A8E">
      <w:pPr>
        <w:rPr>
          <w:rFonts w:hint="eastAsia" w:ascii="Times New Roman" w:hAnsi="Times New Roman" w:eastAsia="仿宋" w:cs="仿宋"/>
        </w:rPr>
      </w:pPr>
      <w:r>
        <w:rPr>
          <w:rFonts w:hint="eastAsia" w:ascii="Times New Roman" w:hAnsi="Times New Roman" w:eastAsia="仿宋" w:cs="仿宋"/>
        </w:rPr>
        <w:t>③表格的“详见页码”可以是具体的页码、章节范围或者是全文。</w:t>
      </w:r>
    </w:p>
    <w:p w14:paraId="4C1B7FE7">
      <w:pPr>
        <w:rPr>
          <w:rFonts w:hint="eastAsia" w:ascii="Times New Roman" w:hAnsi="Times New Roman" w:eastAsia="仿宋" w:cs="仿宋"/>
        </w:rPr>
      </w:pPr>
    </w:p>
    <w:p w14:paraId="7D2DBCD9">
      <w:pPr>
        <w:spacing w:line="360" w:lineRule="auto"/>
        <w:rPr>
          <w:rFonts w:ascii="Times New Roman" w:hAnsi="Times New Roman" w:eastAsia="仿宋"/>
        </w:rPr>
      </w:pPr>
      <w:r>
        <w:rPr>
          <w:rFonts w:hint="eastAsia" w:ascii="Times New Roman" w:hAnsi="Times New Roman" w:eastAsia="仿宋"/>
        </w:rPr>
        <w:t xml:space="preserve">                             参选人   </w:t>
      </w:r>
      <w:r>
        <w:rPr>
          <w:rFonts w:hint="eastAsia" w:ascii="Times New Roman" w:hAnsi="Times New Roman" w:eastAsia="仿宋"/>
          <w:u w:val="single"/>
        </w:rPr>
        <w:t xml:space="preserve">（全称并加盖公章）：      </w:t>
      </w:r>
    </w:p>
    <w:p w14:paraId="76D23C15">
      <w:pPr>
        <w:spacing w:line="360" w:lineRule="auto"/>
        <w:rPr>
          <w:rFonts w:ascii="Times New Roman" w:hAnsi="Times New Roman" w:eastAsia="仿宋"/>
          <w:u w:val="single"/>
        </w:rPr>
      </w:pPr>
      <w:r>
        <w:rPr>
          <w:rFonts w:hint="eastAsia" w:ascii="Times New Roman" w:hAnsi="Times New Roman" w:eastAsia="仿宋"/>
        </w:rPr>
        <w:t xml:space="preserve">                             参选人代表（签字或盖章）：  </w:t>
      </w:r>
      <w:r>
        <w:rPr>
          <w:rFonts w:hint="eastAsia" w:ascii="Times New Roman" w:hAnsi="Times New Roman" w:eastAsia="仿宋"/>
          <w:color w:val="FF0000"/>
        </w:rPr>
        <w:t xml:space="preserve">    </w:t>
      </w:r>
      <w:r>
        <w:rPr>
          <w:rFonts w:hint="eastAsia" w:ascii="Times New Roman" w:hAnsi="Times New Roman" w:eastAsia="仿宋"/>
          <w:u w:val="single"/>
        </w:rPr>
        <w:t xml:space="preserve">         </w:t>
      </w:r>
    </w:p>
    <w:p w14:paraId="32AED4F8">
      <w:pPr>
        <w:autoSpaceDE w:val="0"/>
        <w:autoSpaceDN w:val="0"/>
        <w:snapToGrid w:val="0"/>
        <w:spacing w:line="360" w:lineRule="auto"/>
        <w:rPr>
          <w:rFonts w:hint="eastAsia" w:ascii="Times New Roman" w:hAnsi="Times New Roman" w:eastAsia="仿宋" w:cs="仿宋"/>
          <w:color w:val="000000"/>
        </w:rPr>
      </w:pPr>
      <w:r>
        <w:rPr>
          <w:rFonts w:hint="eastAsia" w:ascii="Times New Roman" w:hAnsi="Times New Roman" w:eastAsia="仿宋"/>
        </w:rPr>
        <w:t xml:space="preserve">                             日期：</w:t>
      </w:r>
      <w:r>
        <w:rPr>
          <w:rFonts w:hint="eastAsia" w:ascii="Times New Roman" w:hAnsi="Times New Roman" w:eastAsia="仿宋"/>
          <w:u w:val="single"/>
        </w:rPr>
        <w:t xml:space="preserve">       </w:t>
      </w:r>
    </w:p>
    <w:p w14:paraId="2A5022B6">
      <w:pPr>
        <w:jc w:val="both"/>
        <w:outlineLvl w:val="0"/>
        <w:rPr>
          <w:rFonts w:hint="eastAsia" w:ascii="Times New Roman" w:hAnsi="Times New Roman" w:eastAsia="仿宋" w:cs="仿宋"/>
          <w:b/>
          <w:bCs/>
          <w:color w:val="000000"/>
          <w:sz w:val="44"/>
          <w:szCs w:val="44"/>
        </w:rPr>
      </w:pPr>
      <w:r>
        <w:rPr>
          <w:rFonts w:hint="eastAsia" w:ascii="Times New Roman" w:hAnsi="Times New Roman" w:eastAsia="仿宋" w:cs="仿宋"/>
          <w:b/>
          <w:bCs/>
          <w:sz w:val="44"/>
          <w:szCs w:val="44"/>
        </w:rPr>
        <w:br w:type="page"/>
      </w:r>
      <w:bookmarkStart w:id="463" w:name="_Toc18809"/>
      <w:bookmarkStart w:id="464" w:name="_Toc25604"/>
      <w:bookmarkStart w:id="465" w:name="_Toc9497"/>
      <w:bookmarkStart w:id="466" w:name="_Toc16958"/>
      <w:r>
        <w:rPr>
          <w:rFonts w:hint="eastAsia" w:ascii="Times New Roman" w:hAnsi="Times New Roman" w:eastAsia="仿宋" w:cs="仿宋"/>
          <w:b/>
          <w:bCs/>
          <w:color w:val="000000"/>
          <w:sz w:val="44"/>
          <w:szCs w:val="44"/>
        </w:rPr>
        <w:t>附件十一</w:t>
      </w:r>
      <w:r>
        <w:rPr>
          <w:rFonts w:hint="eastAsia" w:ascii="Times New Roman" w:hAnsi="Times New Roman" w:eastAsia="仿宋" w:cs="仿宋"/>
          <w:b/>
          <w:bCs/>
          <w:color w:val="000000"/>
          <w:sz w:val="44"/>
          <w:szCs w:val="44"/>
          <w:lang w:val="en-US" w:eastAsia="zh-CN"/>
        </w:rPr>
        <w:t xml:space="preserve"> </w:t>
      </w:r>
      <w:r>
        <w:rPr>
          <w:rFonts w:hint="eastAsia" w:ascii="Times New Roman" w:hAnsi="Times New Roman" w:eastAsia="仿宋" w:cs="仿宋"/>
          <w:b/>
          <w:bCs/>
          <w:color w:val="000000"/>
          <w:sz w:val="44"/>
          <w:szCs w:val="44"/>
        </w:rPr>
        <w:t>技术评分标准对照情况点对点应答表</w:t>
      </w:r>
      <w:bookmarkEnd w:id="463"/>
      <w:bookmarkEnd w:id="464"/>
      <w:bookmarkEnd w:id="465"/>
      <w:bookmarkEnd w:id="466"/>
    </w:p>
    <w:p w14:paraId="62B9814D">
      <w:pPr>
        <w:pStyle w:val="16"/>
        <w:spacing w:line="560" w:lineRule="exact"/>
        <w:outlineLvl w:val="9"/>
        <w:rPr>
          <w:rFonts w:hint="eastAsia" w:ascii="Times New Roman" w:hAnsi="Times New Roman" w:eastAsia="黑体" w:cs="黑体"/>
          <w:b w:val="0"/>
          <w:bCs w:val="0"/>
          <w:kern w:val="0"/>
        </w:rPr>
      </w:pPr>
      <w:bookmarkStart w:id="467" w:name="_Toc11135"/>
      <w:bookmarkStart w:id="468" w:name="_Toc32020"/>
      <w:bookmarkStart w:id="469" w:name="_Toc27951"/>
      <w:bookmarkStart w:id="470" w:name="_Toc29240"/>
      <w:bookmarkStart w:id="471" w:name="_Toc19528"/>
      <w:r>
        <w:rPr>
          <w:rFonts w:hint="eastAsia" w:ascii="Times New Roman" w:hAnsi="Times New Roman" w:eastAsia="黑体" w:cs="黑体"/>
          <w:b w:val="0"/>
          <w:bCs w:val="0"/>
          <w:kern w:val="0"/>
        </w:rPr>
        <w:t>技术评分标准对照情况点对点应答表</w:t>
      </w:r>
      <w:bookmarkEnd w:id="467"/>
      <w:bookmarkEnd w:id="468"/>
      <w:bookmarkEnd w:id="469"/>
      <w:bookmarkEnd w:id="470"/>
      <w:bookmarkEnd w:id="471"/>
    </w:p>
    <w:p w14:paraId="3062F727">
      <w:pPr>
        <w:pStyle w:val="7"/>
        <w:rPr>
          <w:rFonts w:ascii="Times New Roman" w:hAnsi="Times New Roma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4998"/>
        <w:gridCol w:w="1326"/>
      </w:tblGrid>
      <w:tr w14:paraId="064A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7" w:type="dxa"/>
            <w:noWrap w:val="0"/>
            <w:vAlign w:val="top"/>
          </w:tcPr>
          <w:p w14:paraId="1BF59F4A">
            <w:pPr>
              <w:widowControl w:val="0"/>
              <w:jc w:val="center"/>
              <w:rPr>
                <w:rFonts w:hint="eastAsia" w:ascii="Times New Roman" w:hAnsi="Times New Roman" w:eastAsia="仿宋" w:cs="仿宋"/>
              </w:rPr>
            </w:pPr>
            <w:r>
              <w:rPr>
                <w:rFonts w:hint="eastAsia" w:ascii="Times New Roman" w:hAnsi="Times New Roman" w:eastAsia="仿宋" w:cs="仿宋"/>
              </w:rPr>
              <w:t>技术部分评分内容</w:t>
            </w:r>
          </w:p>
        </w:tc>
        <w:tc>
          <w:tcPr>
            <w:tcW w:w="4998" w:type="dxa"/>
            <w:noWrap w:val="0"/>
            <w:vAlign w:val="top"/>
          </w:tcPr>
          <w:p w14:paraId="3E929B90">
            <w:pPr>
              <w:widowControl w:val="0"/>
              <w:jc w:val="center"/>
              <w:rPr>
                <w:rFonts w:hint="eastAsia" w:ascii="Times New Roman" w:hAnsi="Times New Roman" w:eastAsia="仿宋" w:cs="仿宋"/>
              </w:rPr>
            </w:pPr>
            <w:r>
              <w:rPr>
                <w:rFonts w:hint="eastAsia" w:ascii="Times New Roman" w:hAnsi="Times New Roman" w:eastAsia="仿宋" w:cs="仿宋"/>
              </w:rPr>
              <w:t>参选响应情况（具体内容或相应资料证明可以索引至参选文件中相应页码）</w:t>
            </w:r>
          </w:p>
        </w:tc>
        <w:tc>
          <w:tcPr>
            <w:tcW w:w="1326" w:type="dxa"/>
            <w:noWrap w:val="0"/>
            <w:vAlign w:val="top"/>
          </w:tcPr>
          <w:p w14:paraId="6B54AF03">
            <w:pPr>
              <w:widowControl w:val="0"/>
              <w:jc w:val="center"/>
              <w:rPr>
                <w:rFonts w:hint="eastAsia" w:ascii="Times New Roman" w:hAnsi="Times New Roman" w:eastAsia="仿宋" w:cs="仿宋"/>
              </w:rPr>
            </w:pPr>
            <w:r>
              <w:rPr>
                <w:rFonts w:hint="eastAsia" w:ascii="Times New Roman" w:hAnsi="Times New Roman" w:eastAsia="仿宋" w:cs="仿宋"/>
              </w:rPr>
              <w:t>详见页码</w:t>
            </w:r>
          </w:p>
        </w:tc>
      </w:tr>
      <w:tr w14:paraId="6522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7" w:type="dxa"/>
            <w:noWrap w:val="0"/>
            <w:vAlign w:val="top"/>
          </w:tcPr>
          <w:p w14:paraId="492AD248">
            <w:pPr>
              <w:widowControl w:val="0"/>
              <w:jc w:val="both"/>
              <w:rPr>
                <w:rFonts w:hint="eastAsia" w:ascii="Times New Roman" w:hAnsi="Times New Roman" w:eastAsia="仿宋" w:cs="仿宋"/>
                <w:sz w:val="28"/>
                <w:szCs w:val="28"/>
              </w:rPr>
            </w:pPr>
          </w:p>
        </w:tc>
        <w:tc>
          <w:tcPr>
            <w:tcW w:w="4998" w:type="dxa"/>
            <w:noWrap w:val="0"/>
            <w:vAlign w:val="top"/>
          </w:tcPr>
          <w:p w14:paraId="1D1832DB">
            <w:pPr>
              <w:widowControl w:val="0"/>
              <w:jc w:val="both"/>
              <w:rPr>
                <w:rFonts w:hint="eastAsia" w:ascii="Times New Roman" w:hAnsi="Times New Roman" w:eastAsia="仿宋" w:cs="仿宋"/>
                <w:sz w:val="28"/>
                <w:szCs w:val="28"/>
              </w:rPr>
            </w:pPr>
          </w:p>
        </w:tc>
        <w:tc>
          <w:tcPr>
            <w:tcW w:w="1326" w:type="dxa"/>
            <w:noWrap w:val="0"/>
            <w:vAlign w:val="top"/>
          </w:tcPr>
          <w:p w14:paraId="116B4B36">
            <w:pPr>
              <w:widowControl w:val="0"/>
              <w:jc w:val="both"/>
              <w:rPr>
                <w:rFonts w:hint="eastAsia" w:ascii="Times New Roman" w:hAnsi="Times New Roman" w:eastAsia="仿宋" w:cs="仿宋"/>
                <w:sz w:val="28"/>
                <w:szCs w:val="28"/>
              </w:rPr>
            </w:pPr>
          </w:p>
        </w:tc>
      </w:tr>
      <w:tr w14:paraId="7679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7" w:type="dxa"/>
            <w:noWrap w:val="0"/>
            <w:vAlign w:val="top"/>
          </w:tcPr>
          <w:p w14:paraId="1A478B1E">
            <w:pPr>
              <w:widowControl w:val="0"/>
              <w:jc w:val="both"/>
              <w:rPr>
                <w:rFonts w:hint="eastAsia" w:ascii="Times New Roman" w:hAnsi="Times New Roman" w:eastAsia="仿宋" w:cs="仿宋"/>
                <w:sz w:val="28"/>
                <w:szCs w:val="28"/>
              </w:rPr>
            </w:pPr>
          </w:p>
        </w:tc>
        <w:tc>
          <w:tcPr>
            <w:tcW w:w="4998" w:type="dxa"/>
            <w:noWrap w:val="0"/>
            <w:vAlign w:val="top"/>
          </w:tcPr>
          <w:p w14:paraId="4164FE08">
            <w:pPr>
              <w:widowControl w:val="0"/>
              <w:jc w:val="both"/>
              <w:rPr>
                <w:rFonts w:hint="eastAsia" w:ascii="Times New Roman" w:hAnsi="Times New Roman" w:eastAsia="仿宋" w:cs="仿宋"/>
                <w:sz w:val="28"/>
                <w:szCs w:val="28"/>
              </w:rPr>
            </w:pPr>
          </w:p>
        </w:tc>
        <w:tc>
          <w:tcPr>
            <w:tcW w:w="1326" w:type="dxa"/>
            <w:noWrap w:val="0"/>
            <w:vAlign w:val="top"/>
          </w:tcPr>
          <w:p w14:paraId="48CE7ADA">
            <w:pPr>
              <w:widowControl w:val="0"/>
              <w:jc w:val="both"/>
              <w:rPr>
                <w:rFonts w:hint="eastAsia" w:ascii="Times New Roman" w:hAnsi="Times New Roman" w:eastAsia="仿宋" w:cs="仿宋"/>
                <w:sz w:val="28"/>
                <w:szCs w:val="28"/>
              </w:rPr>
            </w:pPr>
          </w:p>
        </w:tc>
      </w:tr>
      <w:tr w14:paraId="32F7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7" w:type="dxa"/>
            <w:noWrap w:val="0"/>
            <w:vAlign w:val="top"/>
          </w:tcPr>
          <w:p w14:paraId="337901D5">
            <w:pPr>
              <w:widowControl w:val="0"/>
              <w:jc w:val="both"/>
              <w:rPr>
                <w:rFonts w:hint="eastAsia" w:ascii="Times New Roman" w:hAnsi="Times New Roman" w:eastAsia="仿宋" w:cs="仿宋"/>
                <w:sz w:val="28"/>
                <w:szCs w:val="28"/>
              </w:rPr>
            </w:pPr>
          </w:p>
        </w:tc>
        <w:tc>
          <w:tcPr>
            <w:tcW w:w="4998" w:type="dxa"/>
            <w:noWrap w:val="0"/>
            <w:vAlign w:val="top"/>
          </w:tcPr>
          <w:p w14:paraId="6F7B9F1D">
            <w:pPr>
              <w:widowControl w:val="0"/>
              <w:jc w:val="both"/>
              <w:rPr>
                <w:rFonts w:hint="eastAsia" w:ascii="Times New Roman" w:hAnsi="Times New Roman" w:eastAsia="仿宋" w:cs="仿宋"/>
                <w:sz w:val="28"/>
                <w:szCs w:val="28"/>
              </w:rPr>
            </w:pPr>
          </w:p>
        </w:tc>
        <w:tc>
          <w:tcPr>
            <w:tcW w:w="1326" w:type="dxa"/>
            <w:noWrap w:val="0"/>
            <w:vAlign w:val="top"/>
          </w:tcPr>
          <w:p w14:paraId="69A644C7">
            <w:pPr>
              <w:widowControl w:val="0"/>
              <w:jc w:val="both"/>
              <w:rPr>
                <w:rFonts w:hint="eastAsia" w:ascii="Times New Roman" w:hAnsi="Times New Roman" w:eastAsia="仿宋" w:cs="仿宋"/>
                <w:sz w:val="28"/>
                <w:szCs w:val="28"/>
              </w:rPr>
            </w:pPr>
          </w:p>
        </w:tc>
      </w:tr>
      <w:tr w14:paraId="2C48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7" w:type="dxa"/>
            <w:noWrap w:val="0"/>
            <w:vAlign w:val="top"/>
          </w:tcPr>
          <w:p w14:paraId="53C6680C">
            <w:pPr>
              <w:widowControl w:val="0"/>
              <w:jc w:val="both"/>
              <w:rPr>
                <w:rFonts w:hint="eastAsia" w:ascii="Times New Roman" w:hAnsi="Times New Roman" w:eastAsia="仿宋" w:cs="仿宋"/>
                <w:sz w:val="28"/>
                <w:szCs w:val="28"/>
              </w:rPr>
            </w:pPr>
          </w:p>
        </w:tc>
        <w:tc>
          <w:tcPr>
            <w:tcW w:w="4998" w:type="dxa"/>
            <w:noWrap w:val="0"/>
            <w:vAlign w:val="top"/>
          </w:tcPr>
          <w:p w14:paraId="1A86A822">
            <w:pPr>
              <w:widowControl w:val="0"/>
              <w:jc w:val="both"/>
              <w:rPr>
                <w:rFonts w:hint="eastAsia" w:ascii="Times New Roman" w:hAnsi="Times New Roman" w:eastAsia="仿宋" w:cs="仿宋"/>
                <w:sz w:val="28"/>
                <w:szCs w:val="28"/>
              </w:rPr>
            </w:pPr>
          </w:p>
        </w:tc>
        <w:tc>
          <w:tcPr>
            <w:tcW w:w="1326" w:type="dxa"/>
            <w:noWrap w:val="0"/>
            <w:vAlign w:val="top"/>
          </w:tcPr>
          <w:p w14:paraId="4D910015">
            <w:pPr>
              <w:widowControl w:val="0"/>
              <w:jc w:val="both"/>
              <w:rPr>
                <w:rFonts w:hint="eastAsia" w:ascii="Times New Roman" w:hAnsi="Times New Roman" w:eastAsia="仿宋" w:cs="仿宋"/>
                <w:sz w:val="28"/>
                <w:szCs w:val="28"/>
              </w:rPr>
            </w:pPr>
          </w:p>
        </w:tc>
      </w:tr>
      <w:tr w14:paraId="22A27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7" w:type="dxa"/>
            <w:noWrap w:val="0"/>
            <w:vAlign w:val="top"/>
          </w:tcPr>
          <w:p w14:paraId="74C9A382">
            <w:pPr>
              <w:widowControl w:val="0"/>
              <w:jc w:val="both"/>
              <w:rPr>
                <w:rFonts w:hint="eastAsia" w:ascii="Times New Roman" w:hAnsi="Times New Roman" w:eastAsia="仿宋" w:cs="仿宋"/>
                <w:sz w:val="28"/>
                <w:szCs w:val="28"/>
              </w:rPr>
            </w:pPr>
          </w:p>
        </w:tc>
        <w:tc>
          <w:tcPr>
            <w:tcW w:w="4998" w:type="dxa"/>
            <w:noWrap w:val="0"/>
            <w:vAlign w:val="top"/>
          </w:tcPr>
          <w:p w14:paraId="1681E21F">
            <w:pPr>
              <w:widowControl w:val="0"/>
              <w:jc w:val="both"/>
              <w:rPr>
                <w:rFonts w:hint="eastAsia" w:ascii="Times New Roman" w:hAnsi="Times New Roman" w:eastAsia="仿宋" w:cs="仿宋"/>
                <w:sz w:val="28"/>
                <w:szCs w:val="28"/>
              </w:rPr>
            </w:pPr>
          </w:p>
        </w:tc>
        <w:tc>
          <w:tcPr>
            <w:tcW w:w="1326" w:type="dxa"/>
            <w:noWrap w:val="0"/>
            <w:vAlign w:val="top"/>
          </w:tcPr>
          <w:p w14:paraId="07299BC1">
            <w:pPr>
              <w:widowControl w:val="0"/>
              <w:jc w:val="both"/>
              <w:rPr>
                <w:rFonts w:hint="eastAsia" w:ascii="Times New Roman" w:hAnsi="Times New Roman" w:eastAsia="仿宋" w:cs="仿宋"/>
                <w:sz w:val="28"/>
                <w:szCs w:val="28"/>
              </w:rPr>
            </w:pPr>
          </w:p>
        </w:tc>
      </w:tr>
      <w:tr w14:paraId="3639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7" w:type="dxa"/>
            <w:noWrap w:val="0"/>
            <w:vAlign w:val="top"/>
          </w:tcPr>
          <w:p w14:paraId="55238A73">
            <w:pPr>
              <w:widowControl w:val="0"/>
              <w:jc w:val="both"/>
              <w:rPr>
                <w:rFonts w:hint="eastAsia" w:ascii="Times New Roman" w:hAnsi="Times New Roman" w:eastAsia="仿宋" w:cs="仿宋"/>
                <w:sz w:val="28"/>
                <w:szCs w:val="28"/>
              </w:rPr>
            </w:pPr>
          </w:p>
        </w:tc>
        <w:tc>
          <w:tcPr>
            <w:tcW w:w="4998" w:type="dxa"/>
            <w:noWrap w:val="0"/>
            <w:vAlign w:val="top"/>
          </w:tcPr>
          <w:p w14:paraId="4BEC721E">
            <w:pPr>
              <w:widowControl w:val="0"/>
              <w:jc w:val="both"/>
              <w:rPr>
                <w:rFonts w:hint="eastAsia" w:ascii="Times New Roman" w:hAnsi="Times New Roman" w:eastAsia="仿宋" w:cs="仿宋"/>
                <w:sz w:val="28"/>
                <w:szCs w:val="28"/>
              </w:rPr>
            </w:pPr>
          </w:p>
        </w:tc>
        <w:tc>
          <w:tcPr>
            <w:tcW w:w="1326" w:type="dxa"/>
            <w:noWrap w:val="0"/>
            <w:vAlign w:val="top"/>
          </w:tcPr>
          <w:p w14:paraId="677490EF">
            <w:pPr>
              <w:widowControl w:val="0"/>
              <w:jc w:val="both"/>
              <w:rPr>
                <w:rFonts w:hint="eastAsia" w:ascii="Times New Roman" w:hAnsi="Times New Roman" w:eastAsia="仿宋" w:cs="仿宋"/>
                <w:sz w:val="28"/>
                <w:szCs w:val="28"/>
              </w:rPr>
            </w:pPr>
          </w:p>
        </w:tc>
      </w:tr>
    </w:tbl>
    <w:p w14:paraId="7733DA75">
      <w:pPr>
        <w:rPr>
          <w:rFonts w:ascii="Times New Roman" w:hAnsi="Times New Roman"/>
        </w:rPr>
      </w:pPr>
    </w:p>
    <w:p w14:paraId="73004AF3">
      <w:pPr>
        <w:rPr>
          <w:rFonts w:hint="eastAsia" w:ascii="Times New Roman" w:hAnsi="Times New Roman" w:eastAsia="仿宋" w:cs="仿宋"/>
        </w:rPr>
      </w:pPr>
      <w:r>
        <w:rPr>
          <w:rFonts w:hint="eastAsia" w:ascii="Times New Roman" w:hAnsi="Times New Roman" w:eastAsia="仿宋" w:cs="仿宋"/>
        </w:rPr>
        <w:t>备注：</w:t>
      </w:r>
    </w:p>
    <w:p w14:paraId="4BA6225D">
      <w:pPr>
        <w:rPr>
          <w:rFonts w:hint="eastAsia" w:ascii="Times New Roman" w:hAnsi="Times New Roman" w:eastAsia="仿宋" w:cs="仿宋"/>
        </w:rPr>
      </w:pPr>
      <w:r>
        <w:rPr>
          <w:rFonts w:hint="eastAsia" w:ascii="Times New Roman" w:hAnsi="Times New Roman" w:eastAsia="仿宋" w:cs="仿宋"/>
        </w:rPr>
        <w:t>①参选人必须对自已所投产品或自身是否满足相关评分项目，在参选文件中逐项做出如实明确的应答，表明是否满足或正负偏离。</w:t>
      </w:r>
    </w:p>
    <w:p w14:paraId="4EE0CA79">
      <w:pPr>
        <w:rPr>
          <w:rFonts w:hint="eastAsia" w:ascii="Times New Roman" w:hAnsi="Times New Roman" w:eastAsia="仿宋" w:cs="仿宋"/>
        </w:rPr>
      </w:pPr>
      <w:r>
        <w:rPr>
          <w:rFonts w:hint="eastAsia" w:ascii="Times New Roman" w:hAnsi="Times New Roman" w:eastAsia="仿宋" w:cs="仿宋"/>
        </w:rPr>
        <w:t>②参选人应将比选文件中要求的如：各类证书等装订编列章节，并编制页码索引。同时参选人应在参选文件的应答部分明确说明各文件所在页码；以方便比选小组逐项翻阅查询。</w:t>
      </w:r>
    </w:p>
    <w:p w14:paraId="55679194">
      <w:pPr>
        <w:pStyle w:val="2"/>
        <w:rPr>
          <w:rFonts w:ascii="Times New Roman" w:hAnsi="Times New Roman" w:eastAsia="仿宋" w:cs="仿宋"/>
        </w:rPr>
      </w:pPr>
      <w:r>
        <w:rPr>
          <w:rFonts w:ascii="Times New Roman" w:hAnsi="Times New Roman" w:eastAsia="仿宋" w:cs="仿宋"/>
        </w:rPr>
        <w:t>③表格的“详见页码”可以是具体的页码、章节范围或者是全文。</w:t>
      </w:r>
    </w:p>
    <w:p w14:paraId="07C3B7BF">
      <w:pPr>
        <w:pStyle w:val="2"/>
        <w:rPr>
          <w:rFonts w:ascii="Times New Roman" w:hAnsi="Times New Roman" w:eastAsia="仿宋" w:cs="仿宋"/>
        </w:rPr>
      </w:pPr>
    </w:p>
    <w:p w14:paraId="02721B05">
      <w:pPr>
        <w:spacing w:line="360" w:lineRule="auto"/>
        <w:rPr>
          <w:rFonts w:ascii="Times New Roman" w:hAnsi="Times New Roman" w:eastAsia="仿宋"/>
        </w:rPr>
      </w:pPr>
      <w:r>
        <w:rPr>
          <w:rFonts w:hint="eastAsia" w:ascii="Times New Roman" w:hAnsi="Times New Roman" w:eastAsia="仿宋"/>
        </w:rPr>
        <w:t xml:space="preserve">                             参选人   </w:t>
      </w:r>
      <w:r>
        <w:rPr>
          <w:rFonts w:hint="eastAsia" w:ascii="Times New Roman" w:hAnsi="Times New Roman" w:eastAsia="仿宋"/>
          <w:u w:val="single"/>
        </w:rPr>
        <w:t xml:space="preserve">（全称并加盖公章）：      </w:t>
      </w:r>
    </w:p>
    <w:p w14:paraId="55A0682C">
      <w:pPr>
        <w:spacing w:line="360" w:lineRule="auto"/>
        <w:rPr>
          <w:rFonts w:ascii="Times New Roman" w:hAnsi="Times New Roman" w:eastAsia="仿宋"/>
          <w:u w:val="single"/>
        </w:rPr>
      </w:pPr>
      <w:r>
        <w:rPr>
          <w:rFonts w:hint="eastAsia" w:ascii="Times New Roman" w:hAnsi="Times New Roman" w:eastAsia="仿宋"/>
        </w:rPr>
        <w:t xml:space="preserve">                             参选人代表（签字或盖章）：</w:t>
      </w:r>
      <w:r>
        <w:rPr>
          <w:rFonts w:hint="eastAsia" w:ascii="Times New Roman" w:hAnsi="Times New Roman" w:eastAsia="仿宋"/>
          <w:u w:val="single"/>
        </w:rPr>
        <w:t xml:space="preserve">               </w:t>
      </w:r>
    </w:p>
    <w:p w14:paraId="6A02DE86">
      <w:pPr>
        <w:pStyle w:val="23"/>
        <w:rPr>
          <w:rFonts w:ascii="Times New Roman" w:hAnsi="Times New Roman"/>
        </w:rPr>
      </w:pPr>
      <w:r>
        <w:rPr>
          <w:rFonts w:hint="eastAsia" w:ascii="Times New Roman" w:hAnsi="Times New Roman"/>
        </w:rPr>
        <w:t xml:space="preserve">                             日期：</w:t>
      </w:r>
      <w:r>
        <w:rPr>
          <w:rFonts w:hint="eastAsia" w:ascii="Times New Roman" w:hAnsi="Times New Roman"/>
          <w:u w:val="single"/>
        </w:rPr>
        <w:t xml:space="preserve">       </w:t>
      </w:r>
    </w:p>
    <w:p w14:paraId="77498907">
      <w:pPr>
        <w:pStyle w:val="2"/>
        <w:rPr>
          <w:rFonts w:hint="default" w:ascii="Times New Roman" w:hAnsi="Times New Roman" w:eastAsia="仿宋" w:cs="仿宋"/>
          <w:color w:val="000000"/>
        </w:rPr>
        <w:sectPr>
          <w:pgSz w:w="11906" w:h="16838"/>
          <w:pgMar w:top="1440" w:right="1800" w:bottom="1440" w:left="1800" w:header="851" w:footer="992" w:gutter="0"/>
          <w:pgNumType w:fmt="decimal"/>
          <w:cols w:space="720" w:num="1"/>
          <w:docGrid w:type="lines" w:linePitch="312" w:charSpace="0"/>
        </w:sectPr>
      </w:pPr>
    </w:p>
    <w:p w14:paraId="7C73773C">
      <w:pPr>
        <w:jc w:val="both"/>
        <w:outlineLvl w:val="0"/>
        <w:rPr>
          <w:rFonts w:hint="eastAsia" w:ascii="Times New Roman" w:hAnsi="Times New Roman" w:eastAsia="仿宋" w:cs="仿宋"/>
          <w:b/>
          <w:bCs/>
          <w:color w:val="000000"/>
          <w:sz w:val="44"/>
          <w:szCs w:val="44"/>
        </w:rPr>
      </w:pPr>
      <w:bookmarkStart w:id="472" w:name="_Toc16414"/>
      <w:bookmarkStart w:id="473" w:name="_Toc25546"/>
      <w:r>
        <w:rPr>
          <w:rFonts w:hint="eastAsia" w:ascii="Times New Roman" w:hAnsi="Times New Roman" w:eastAsia="仿宋" w:cs="仿宋"/>
          <w:b/>
          <w:bCs/>
          <w:color w:val="000000"/>
          <w:sz w:val="44"/>
          <w:szCs w:val="44"/>
        </w:rPr>
        <w:t>附件十</w:t>
      </w:r>
      <w:r>
        <w:rPr>
          <w:rFonts w:hint="eastAsia" w:ascii="Times New Roman" w:hAnsi="Times New Roman" w:eastAsia="仿宋" w:cs="仿宋"/>
          <w:b/>
          <w:bCs/>
          <w:color w:val="000000"/>
          <w:sz w:val="44"/>
          <w:szCs w:val="44"/>
          <w:lang w:val="en-US" w:eastAsia="zh-CN"/>
        </w:rPr>
        <w:t xml:space="preserve">二 </w:t>
      </w:r>
      <w:r>
        <w:rPr>
          <w:rFonts w:hint="eastAsia" w:ascii="Times New Roman" w:hAnsi="Times New Roman" w:eastAsia="仿宋" w:cs="仿宋"/>
          <w:b/>
          <w:bCs/>
          <w:color w:val="000000"/>
          <w:sz w:val="44"/>
          <w:szCs w:val="44"/>
        </w:rPr>
        <w:t>其他技术及商务证明材料</w:t>
      </w:r>
      <w:bookmarkEnd w:id="472"/>
      <w:bookmarkEnd w:id="473"/>
    </w:p>
    <w:p w14:paraId="5B39154C">
      <w:pPr>
        <w:spacing w:line="420" w:lineRule="exact"/>
        <w:ind w:firstLine="480"/>
        <w:rPr>
          <w:rFonts w:ascii="Times New Roman" w:hAnsi="Times New Roman"/>
          <w:color w:val="000000"/>
        </w:rPr>
      </w:pPr>
    </w:p>
    <w:p w14:paraId="5CCE7724">
      <w:pPr>
        <w:spacing w:line="380" w:lineRule="exact"/>
        <w:ind w:firstLine="480" w:firstLineChars="200"/>
        <w:rPr>
          <w:rFonts w:ascii="Times New Roman" w:hAnsi="Times New Roman" w:eastAsia="仿宋" w:cs="仿宋"/>
          <w:color w:val="000000"/>
        </w:rPr>
      </w:pPr>
      <w:r>
        <w:rPr>
          <w:rFonts w:hint="eastAsia" w:ascii="Times New Roman" w:hAnsi="Times New Roman" w:eastAsia="仿宋" w:cs="仿宋"/>
          <w:color w:val="000000"/>
        </w:rPr>
        <w:t>参选人须根据比选文件中参选人需列的其它相关证明资料（复印件则均需加盖参选人单位公章)</w:t>
      </w:r>
    </w:p>
    <w:p w14:paraId="2E20FFD7">
      <w:pPr>
        <w:pStyle w:val="2"/>
        <w:rPr>
          <w:rFonts w:hint="default" w:ascii="Times New Roman" w:hAnsi="Times New Roman" w:eastAsia="仿宋" w:cs="仿宋"/>
          <w:color w:val="000000"/>
        </w:rPr>
      </w:pPr>
    </w:p>
    <w:p w14:paraId="2AF84E04">
      <w:pPr>
        <w:pStyle w:val="2"/>
        <w:rPr>
          <w:rFonts w:hint="default" w:ascii="Times New Roman" w:hAnsi="Times New Roman" w:eastAsia="仿宋" w:cs="仿宋"/>
          <w:color w:val="000000"/>
        </w:rPr>
      </w:pPr>
    </w:p>
    <w:p w14:paraId="29A49EEB">
      <w:pPr>
        <w:pStyle w:val="2"/>
        <w:rPr>
          <w:rFonts w:hint="default" w:ascii="Times New Roman" w:hAnsi="Times New Roman" w:eastAsia="仿宋" w:cs="仿宋"/>
          <w:color w:val="000000"/>
        </w:rPr>
      </w:pPr>
    </w:p>
    <w:p w14:paraId="09E2424D">
      <w:pPr>
        <w:pStyle w:val="2"/>
        <w:rPr>
          <w:rFonts w:ascii="Times New Roman" w:hAnsi="Times New Roman" w:eastAsia="仿宋" w:cs="仿宋"/>
          <w:color w:val="000000"/>
        </w:rPr>
      </w:pPr>
    </w:p>
    <w:p w14:paraId="61D41538"/>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2D048">
    <w:pPr>
      <w:pStyle w:val="10"/>
      <w:jc w:val="center"/>
    </w:pPr>
  </w:p>
  <w:p w14:paraId="520D46D0">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25AB8">
    <w:pPr>
      <w:pStyle w:val="10"/>
      <w:jc w:val="center"/>
    </w:pPr>
  </w:p>
  <w:p w14:paraId="16443B39">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A8678">
    <w:pPr>
      <w:pStyle w:val="10"/>
      <w:jc w:val="center"/>
    </w:pPr>
  </w:p>
  <w:p w14:paraId="5F219391">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E7BF4">
    <w:pPr>
      <w:pStyle w:val="10"/>
      <w:jc w:val="center"/>
    </w:pPr>
  </w:p>
  <w:p w14:paraId="0F6ED98F">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41BBF">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1AF512">
                          <w:pPr>
                            <w:pStyle w:val="10"/>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43</w:t>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41AF512">
                    <w:pPr>
                      <w:pStyle w:val="10"/>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43</w:t>
                    </w:r>
                    <w:r>
                      <w:t xml:space="preserve"> 页</w:t>
                    </w:r>
                  </w:p>
                </w:txbxContent>
              </v:textbox>
            </v:shape>
          </w:pict>
        </mc:Fallback>
      </mc:AlternateContent>
    </w:r>
  </w:p>
  <w:p w14:paraId="7749715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00B5D">
    <w:pPr>
      <w:pStyle w:val="11"/>
      <w:jc w:val="left"/>
      <w:rPr>
        <w:rFonts w:ascii="仿宋" w:hAnsi="仿宋" w:eastAsia="仿宋" w:cs="仿宋"/>
      </w:rPr>
    </w:pPr>
    <w:r>
      <w:rPr>
        <w:rFonts w:hint="eastAsia" w:ascii="仿宋" w:hAnsi="仿宋" w:eastAsia="仿宋" w:cs="仿宋"/>
        <w:b/>
        <w:lang w:val="en-US" w:eastAsia="zh-CN"/>
      </w:rPr>
      <w:t>福维新材料</w:t>
    </w:r>
    <w:r>
      <w:rPr>
        <w:rFonts w:hint="eastAsia" w:ascii="仿宋" w:hAnsi="仿宋" w:eastAsia="仿宋" w:cs="仿宋"/>
        <w:b/>
        <w:lang w:eastAsia="zh-CN"/>
      </w:rPr>
      <w:t>会议室系统建设项目</w:t>
    </w:r>
    <w:r>
      <w:rPr>
        <w:rFonts w:hint="eastAsia" w:ascii="仿宋" w:hAnsi="仿宋" w:eastAsia="仿宋" w:cs="仿宋"/>
        <w:b/>
      </w:rPr>
      <w:t>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BFE7A8"/>
    <w:multiLevelType w:val="singleLevel"/>
    <w:tmpl w:val="AABFE7A8"/>
    <w:lvl w:ilvl="0" w:tentative="0">
      <w:start w:val="2"/>
      <w:numFmt w:val="chineseCounting"/>
      <w:suff w:val="nothing"/>
      <w:lvlText w:val="%1、"/>
      <w:lvlJc w:val="left"/>
      <w:rPr>
        <w:rFonts w:hint="eastAsia"/>
      </w:rPr>
    </w:lvl>
  </w:abstractNum>
  <w:abstractNum w:abstractNumId="1">
    <w:nsid w:val="BC5BE735"/>
    <w:multiLevelType w:val="singleLevel"/>
    <w:tmpl w:val="BC5BE735"/>
    <w:lvl w:ilvl="0" w:tentative="0">
      <w:start w:val="1"/>
      <w:numFmt w:val="decimal"/>
      <w:suff w:val="nothing"/>
      <w:lvlText w:val="%1．"/>
      <w:lvlJc w:val="left"/>
      <w:pPr>
        <w:ind w:left="0" w:firstLine="400"/>
      </w:pPr>
      <w:rPr>
        <w:rFonts w:hint="default"/>
      </w:rPr>
    </w:lvl>
  </w:abstractNum>
  <w:abstractNum w:abstractNumId="2">
    <w:nsid w:val="D07E9F83"/>
    <w:multiLevelType w:val="singleLevel"/>
    <w:tmpl w:val="D07E9F83"/>
    <w:lvl w:ilvl="0" w:tentative="0">
      <w:start w:val="1"/>
      <w:numFmt w:val="decimal"/>
      <w:suff w:val="nothing"/>
      <w:lvlText w:val="%1．"/>
      <w:lvlJc w:val="left"/>
      <w:pPr>
        <w:ind w:left="0" w:firstLine="400"/>
      </w:pPr>
      <w:rPr>
        <w:rFonts w:hint="default"/>
      </w:rPr>
    </w:lvl>
  </w:abstractNum>
  <w:abstractNum w:abstractNumId="3">
    <w:nsid w:val="FE047D55"/>
    <w:multiLevelType w:val="singleLevel"/>
    <w:tmpl w:val="FE047D55"/>
    <w:lvl w:ilvl="0" w:tentative="0">
      <w:start w:val="4"/>
      <w:numFmt w:val="chineseCounting"/>
      <w:suff w:val="space"/>
      <w:lvlText w:val="第%1章"/>
      <w:lvlJc w:val="left"/>
      <w:rPr>
        <w:rFonts w:hint="eastAsia"/>
      </w:rPr>
    </w:lvl>
  </w:abstractNum>
  <w:abstractNum w:abstractNumId="4">
    <w:nsid w:val="03E04F1A"/>
    <w:multiLevelType w:val="singleLevel"/>
    <w:tmpl w:val="03E04F1A"/>
    <w:lvl w:ilvl="0" w:tentative="0">
      <w:start w:val="2"/>
      <w:numFmt w:val="chineseCounting"/>
      <w:suff w:val="nothing"/>
      <w:lvlText w:val="%1、"/>
      <w:lvlJc w:val="left"/>
      <w:rPr>
        <w:rFonts w:hint="eastAsia"/>
      </w:rPr>
    </w:lvl>
  </w:abstractNum>
  <w:abstractNum w:abstractNumId="5">
    <w:nsid w:val="05B635F1"/>
    <w:multiLevelType w:val="singleLevel"/>
    <w:tmpl w:val="05B635F1"/>
    <w:lvl w:ilvl="0" w:tentative="0">
      <w:start w:val="1"/>
      <w:numFmt w:val="decimal"/>
      <w:suff w:val="nothing"/>
      <w:lvlText w:val="%1．"/>
      <w:lvlJc w:val="left"/>
      <w:pPr>
        <w:ind w:left="0" w:firstLine="400"/>
      </w:pPr>
      <w:rPr>
        <w:rFonts w:hint="default"/>
      </w:rPr>
    </w:lvl>
  </w:abstractNum>
  <w:abstractNum w:abstractNumId="6">
    <w:nsid w:val="2B8ABEE5"/>
    <w:multiLevelType w:val="singleLevel"/>
    <w:tmpl w:val="2B8ABEE5"/>
    <w:lvl w:ilvl="0" w:tentative="0">
      <w:start w:val="1"/>
      <w:numFmt w:val="decimal"/>
      <w:suff w:val="nothing"/>
      <w:lvlText w:val="%1．"/>
      <w:lvlJc w:val="left"/>
      <w:pPr>
        <w:ind w:left="0" w:firstLine="400"/>
      </w:pPr>
      <w:rPr>
        <w:rFonts w:hint="default"/>
      </w:rPr>
    </w:lvl>
  </w:abstractNum>
  <w:abstractNum w:abstractNumId="7">
    <w:nsid w:val="5A4EBE7B"/>
    <w:multiLevelType w:val="singleLevel"/>
    <w:tmpl w:val="5A4EBE7B"/>
    <w:lvl w:ilvl="0" w:tentative="0">
      <w:start w:val="1"/>
      <w:numFmt w:val="chineseCounting"/>
      <w:suff w:val="nothing"/>
      <w:lvlText w:val="%1、"/>
      <w:lvlJc w:val="left"/>
      <w:rPr>
        <w:rFonts w:hint="eastAsia"/>
      </w:rPr>
    </w:lvl>
  </w:abstractNum>
  <w:abstractNum w:abstractNumId="8">
    <w:nsid w:val="61C581AE"/>
    <w:multiLevelType w:val="singleLevel"/>
    <w:tmpl w:val="61C581AE"/>
    <w:lvl w:ilvl="0" w:tentative="0">
      <w:start w:val="1"/>
      <w:numFmt w:val="decimalEnclosedCircleChinese"/>
      <w:suff w:val="nothing"/>
      <w:lvlText w:val="%1　"/>
      <w:lvlJc w:val="left"/>
      <w:pPr>
        <w:ind w:left="0" w:firstLine="400"/>
      </w:pPr>
      <w:rPr>
        <w:rFonts w:hint="eastAsia"/>
      </w:rPr>
    </w:lvl>
  </w:abstractNum>
  <w:abstractNum w:abstractNumId="9">
    <w:nsid w:val="61C90D2A"/>
    <w:multiLevelType w:val="singleLevel"/>
    <w:tmpl w:val="61C90D2A"/>
    <w:lvl w:ilvl="0" w:tentative="0">
      <w:start w:val="1"/>
      <w:numFmt w:val="decimal"/>
      <w:suff w:val="nothing"/>
      <w:lvlText w:val="%1．"/>
      <w:lvlJc w:val="left"/>
      <w:pPr>
        <w:ind w:left="0" w:firstLine="400"/>
      </w:pPr>
      <w:rPr>
        <w:rFonts w:hint="default"/>
      </w:rPr>
    </w:lvl>
  </w:abstractNum>
  <w:abstractNum w:abstractNumId="10">
    <w:nsid w:val="61C90EA5"/>
    <w:multiLevelType w:val="singleLevel"/>
    <w:tmpl w:val="61C90EA5"/>
    <w:lvl w:ilvl="0" w:tentative="0">
      <w:start w:val="1"/>
      <w:numFmt w:val="decimal"/>
      <w:suff w:val="nothing"/>
      <w:lvlText w:val="%1．"/>
      <w:lvlJc w:val="left"/>
      <w:pPr>
        <w:ind w:left="0" w:firstLine="400"/>
      </w:pPr>
      <w:rPr>
        <w:rFonts w:hint="default"/>
      </w:rPr>
    </w:lvl>
  </w:abstractNum>
  <w:abstractNum w:abstractNumId="11">
    <w:nsid w:val="61C90F4F"/>
    <w:multiLevelType w:val="singleLevel"/>
    <w:tmpl w:val="61C90F4F"/>
    <w:lvl w:ilvl="0" w:tentative="0">
      <w:start w:val="1"/>
      <w:numFmt w:val="decimal"/>
      <w:suff w:val="nothing"/>
      <w:lvlText w:val="%1．"/>
      <w:lvlJc w:val="left"/>
      <w:pPr>
        <w:ind w:left="0" w:firstLine="400"/>
      </w:pPr>
      <w:rPr>
        <w:rFonts w:hint="default"/>
      </w:rPr>
    </w:lvl>
  </w:abstractNum>
  <w:abstractNum w:abstractNumId="12">
    <w:nsid w:val="61C910B7"/>
    <w:multiLevelType w:val="singleLevel"/>
    <w:tmpl w:val="61C910B7"/>
    <w:lvl w:ilvl="0" w:tentative="0">
      <w:start w:val="1"/>
      <w:numFmt w:val="decimal"/>
      <w:suff w:val="nothing"/>
      <w:lvlText w:val="%1．"/>
      <w:lvlJc w:val="left"/>
      <w:pPr>
        <w:ind w:left="0" w:firstLine="400"/>
      </w:pPr>
      <w:rPr>
        <w:rFonts w:hint="default"/>
      </w:rPr>
    </w:lvl>
  </w:abstractNum>
  <w:abstractNum w:abstractNumId="13">
    <w:nsid w:val="61C910E0"/>
    <w:multiLevelType w:val="singleLevel"/>
    <w:tmpl w:val="61C910E0"/>
    <w:lvl w:ilvl="0" w:tentative="0">
      <w:start w:val="1"/>
      <w:numFmt w:val="decimal"/>
      <w:suff w:val="nothing"/>
      <w:lvlText w:val="%1．"/>
      <w:lvlJc w:val="left"/>
      <w:pPr>
        <w:ind w:left="0" w:firstLine="400"/>
      </w:pPr>
      <w:rPr>
        <w:rFonts w:hint="default"/>
      </w:rPr>
    </w:lvl>
  </w:abstractNum>
  <w:abstractNum w:abstractNumId="14">
    <w:nsid w:val="61C91106"/>
    <w:multiLevelType w:val="singleLevel"/>
    <w:tmpl w:val="61C91106"/>
    <w:lvl w:ilvl="0" w:tentative="0">
      <w:start w:val="1"/>
      <w:numFmt w:val="decimal"/>
      <w:suff w:val="nothing"/>
      <w:lvlText w:val="%1．"/>
      <w:lvlJc w:val="left"/>
      <w:pPr>
        <w:ind w:left="0" w:firstLine="400"/>
      </w:pPr>
      <w:rPr>
        <w:rFonts w:hint="default"/>
      </w:rPr>
    </w:lvl>
  </w:abstractNum>
  <w:abstractNum w:abstractNumId="15">
    <w:nsid w:val="61C91663"/>
    <w:multiLevelType w:val="singleLevel"/>
    <w:tmpl w:val="61C91663"/>
    <w:lvl w:ilvl="0" w:tentative="0">
      <w:start w:val="1"/>
      <w:numFmt w:val="decimal"/>
      <w:suff w:val="nothing"/>
      <w:lvlText w:val="%1．"/>
      <w:lvlJc w:val="left"/>
      <w:pPr>
        <w:ind w:left="0" w:firstLine="400"/>
      </w:pPr>
      <w:rPr>
        <w:rFonts w:hint="default"/>
      </w:rPr>
    </w:lvl>
  </w:abstractNum>
  <w:abstractNum w:abstractNumId="16">
    <w:nsid w:val="61C9167D"/>
    <w:multiLevelType w:val="singleLevel"/>
    <w:tmpl w:val="61C9167D"/>
    <w:lvl w:ilvl="0" w:tentative="0">
      <w:start w:val="1"/>
      <w:numFmt w:val="decimal"/>
      <w:suff w:val="nothing"/>
      <w:lvlText w:val="%1．"/>
      <w:lvlJc w:val="left"/>
      <w:pPr>
        <w:ind w:left="0" w:firstLine="400"/>
      </w:pPr>
      <w:rPr>
        <w:rFonts w:hint="default"/>
      </w:rPr>
    </w:lvl>
  </w:abstractNum>
  <w:abstractNum w:abstractNumId="17">
    <w:nsid w:val="61C91698"/>
    <w:multiLevelType w:val="singleLevel"/>
    <w:tmpl w:val="61C91698"/>
    <w:lvl w:ilvl="0" w:tentative="0">
      <w:start w:val="1"/>
      <w:numFmt w:val="decimal"/>
      <w:suff w:val="nothing"/>
      <w:lvlText w:val="%1．"/>
      <w:lvlJc w:val="left"/>
      <w:pPr>
        <w:ind w:left="0" w:firstLine="400"/>
      </w:pPr>
      <w:rPr>
        <w:rFonts w:hint="default"/>
      </w:rPr>
    </w:lvl>
  </w:abstractNum>
  <w:abstractNum w:abstractNumId="18">
    <w:nsid w:val="61C916AF"/>
    <w:multiLevelType w:val="singleLevel"/>
    <w:tmpl w:val="61C916AF"/>
    <w:lvl w:ilvl="0" w:tentative="0">
      <w:start w:val="1"/>
      <w:numFmt w:val="decimal"/>
      <w:suff w:val="nothing"/>
      <w:lvlText w:val="%1．"/>
      <w:lvlJc w:val="left"/>
      <w:pPr>
        <w:ind w:left="0" w:firstLine="400"/>
      </w:pPr>
      <w:rPr>
        <w:rFonts w:hint="default"/>
      </w:rPr>
    </w:lvl>
  </w:abstractNum>
  <w:abstractNum w:abstractNumId="19">
    <w:nsid w:val="61C916D5"/>
    <w:multiLevelType w:val="singleLevel"/>
    <w:tmpl w:val="61C916D5"/>
    <w:lvl w:ilvl="0" w:tentative="0">
      <w:start w:val="1"/>
      <w:numFmt w:val="decimal"/>
      <w:suff w:val="nothing"/>
      <w:lvlText w:val="%1．"/>
      <w:lvlJc w:val="left"/>
      <w:pPr>
        <w:ind w:left="0" w:firstLine="400"/>
      </w:pPr>
      <w:rPr>
        <w:rFonts w:hint="default"/>
      </w:rPr>
    </w:lvl>
  </w:abstractNum>
  <w:abstractNum w:abstractNumId="20">
    <w:nsid w:val="62287A3B"/>
    <w:multiLevelType w:val="singleLevel"/>
    <w:tmpl w:val="62287A3B"/>
    <w:lvl w:ilvl="0" w:tentative="0">
      <w:start w:val="1"/>
      <w:numFmt w:val="decimal"/>
      <w:suff w:val="nothing"/>
      <w:lvlText w:val="%1．"/>
      <w:lvlJc w:val="left"/>
      <w:pPr>
        <w:ind w:left="0" w:firstLine="400"/>
      </w:pPr>
      <w:rPr>
        <w:rFonts w:hint="default"/>
      </w:rPr>
    </w:lvl>
  </w:abstractNum>
  <w:num w:numId="1">
    <w:abstractNumId w:val="9"/>
  </w:num>
  <w:num w:numId="2">
    <w:abstractNumId w:val="0"/>
  </w:num>
  <w:num w:numId="3">
    <w:abstractNumId w:val="10"/>
  </w:num>
  <w:num w:numId="4">
    <w:abstractNumId w:val="11"/>
  </w:num>
  <w:num w:numId="5">
    <w:abstractNumId w:val="12"/>
  </w:num>
  <w:num w:numId="6">
    <w:abstractNumId w:val="13"/>
  </w:num>
  <w:num w:numId="7">
    <w:abstractNumId w:val="14"/>
  </w:num>
  <w:num w:numId="8">
    <w:abstractNumId w:val="4"/>
  </w:num>
  <w:num w:numId="9">
    <w:abstractNumId w:val="3"/>
  </w:num>
  <w:num w:numId="10">
    <w:abstractNumId w:val="15"/>
  </w:num>
  <w:num w:numId="11">
    <w:abstractNumId w:val="16"/>
  </w:num>
  <w:num w:numId="12">
    <w:abstractNumId w:val="17"/>
  </w:num>
  <w:num w:numId="13">
    <w:abstractNumId w:val="18"/>
  </w:num>
  <w:num w:numId="14">
    <w:abstractNumId w:val="20"/>
  </w:num>
  <w:num w:numId="15">
    <w:abstractNumId w:val="8"/>
  </w:num>
  <w:num w:numId="16">
    <w:abstractNumId w:val="19"/>
  </w:num>
  <w:num w:numId="17">
    <w:abstractNumId w:val="7"/>
  </w:num>
  <w:num w:numId="18">
    <w:abstractNumId w:val="5"/>
  </w:num>
  <w:num w:numId="19">
    <w:abstractNumId w:val="6"/>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421D6E"/>
    <w:rsid w:val="01101675"/>
    <w:rsid w:val="01DE4F25"/>
    <w:rsid w:val="02125B34"/>
    <w:rsid w:val="027653BD"/>
    <w:rsid w:val="030450A3"/>
    <w:rsid w:val="037A226B"/>
    <w:rsid w:val="03B311CF"/>
    <w:rsid w:val="03C85160"/>
    <w:rsid w:val="048550B3"/>
    <w:rsid w:val="049E5AE4"/>
    <w:rsid w:val="04F22D3F"/>
    <w:rsid w:val="05192149"/>
    <w:rsid w:val="05C26DA0"/>
    <w:rsid w:val="05D36B91"/>
    <w:rsid w:val="064E6EC7"/>
    <w:rsid w:val="06A10FD1"/>
    <w:rsid w:val="06C3547C"/>
    <w:rsid w:val="076300CE"/>
    <w:rsid w:val="07AD40C1"/>
    <w:rsid w:val="082A646E"/>
    <w:rsid w:val="08B96DA8"/>
    <w:rsid w:val="0988465A"/>
    <w:rsid w:val="09CC4DCA"/>
    <w:rsid w:val="09D73678"/>
    <w:rsid w:val="09D75426"/>
    <w:rsid w:val="0A0A29AB"/>
    <w:rsid w:val="0A20096D"/>
    <w:rsid w:val="0B0121B7"/>
    <w:rsid w:val="0B3B6D0B"/>
    <w:rsid w:val="0B5F3925"/>
    <w:rsid w:val="0B6E5C7D"/>
    <w:rsid w:val="0B84338B"/>
    <w:rsid w:val="0B8F4260"/>
    <w:rsid w:val="0BDE0664"/>
    <w:rsid w:val="0CD832A2"/>
    <w:rsid w:val="0D27015E"/>
    <w:rsid w:val="0D6945E7"/>
    <w:rsid w:val="0DC03822"/>
    <w:rsid w:val="102939FD"/>
    <w:rsid w:val="102B0279"/>
    <w:rsid w:val="10DF4557"/>
    <w:rsid w:val="10FF30FD"/>
    <w:rsid w:val="12942106"/>
    <w:rsid w:val="134959ED"/>
    <w:rsid w:val="138116F0"/>
    <w:rsid w:val="13C50F53"/>
    <w:rsid w:val="13FC4915"/>
    <w:rsid w:val="14202F5F"/>
    <w:rsid w:val="1442760C"/>
    <w:rsid w:val="14A95C11"/>
    <w:rsid w:val="14AB1989"/>
    <w:rsid w:val="14BC27A4"/>
    <w:rsid w:val="14C90EE6"/>
    <w:rsid w:val="1523533D"/>
    <w:rsid w:val="1537019C"/>
    <w:rsid w:val="153C3A30"/>
    <w:rsid w:val="156C55BC"/>
    <w:rsid w:val="15910B7E"/>
    <w:rsid w:val="162453A5"/>
    <w:rsid w:val="16506CFC"/>
    <w:rsid w:val="16990989"/>
    <w:rsid w:val="1719707D"/>
    <w:rsid w:val="174A1E03"/>
    <w:rsid w:val="176C3078"/>
    <w:rsid w:val="17C06AD6"/>
    <w:rsid w:val="182F723D"/>
    <w:rsid w:val="189F7A56"/>
    <w:rsid w:val="18A230A3"/>
    <w:rsid w:val="18B96638"/>
    <w:rsid w:val="1A051160"/>
    <w:rsid w:val="1AA3551A"/>
    <w:rsid w:val="1B0342CC"/>
    <w:rsid w:val="1B6A2CAA"/>
    <w:rsid w:val="1B81078E"/>
    <w:rsid w:val="1BF400B9"/>
    <w:rsid w:val="1C4C1CA3"/>
    <w:rsid w:val="1C4E1577"/>
    <w:rsid w:val="1CE4737F"/>
    <w:rsid w:val="1DFB7F65"/>
    <w:rsid w:val="1E890F8D"/>
    <w:rsid w:val="1EFC19B9"/>
    <w:rsid w:val="1F3048DC"/>
    <w:rsid w:val="1FE12CA6"/>
    <w:rsid w:val="1FFF4903"/>
    <w:rsid w:val="20350AB8"/>
    <w:rsid w:val="208E288A"/>
    <w:rsid w:val="21D95D87"/>
    <w:rsid w:val="22364F87"/>
    <w:rsid w:val="234B50C5"/>
    <w:rsid w:val="24101808"/>
    <w:rsid w:val="242157C3"/>
    <w:rsid w:val="24235517"/>
    <w:rsid w:val="24553662"/>
    <w:rsid w:val="247E2C16"/>
    <w:rsid w:val="24AE4C53"/>
    <w:rsid w:val="255552F4"/>
    <w:rsid w:val="25A27BFE"/>
    <w:rsid w:val="25FF1B34"/>
    <w:rsid w:val="260333D3"/>
    <w:rsid w:val="26EF3957"/>
    <w:rsid w:val="27144997"/>
    <w:rsid w:val="27A961FC"/>
    <w:rsid w:val="27EC60E8"/>
    <w:rsid w:val="28675361"/>
    <w:rsid w:val="2959155B"/>
    <w:rsid w:val="296E42B6"/>
    <w:rsid w:val="29D172A5"/>
    <w:rsid w:val="2A3D701E"/>
    <w:rsid w:val="2A467D32"/>
    <w:rsid w:val="2B5F0400"/>
    <w:rsid w:val="2B822FEC"/>
    <w:rsid w:val="2BA50A88"/>
    <w:rsid w:val="2C4627F2"/>
    <w:rsid w:val="2CA60AEA"/>
    <w:rsid w:val="2D74295D"/>
    <w:rsid w:val="2DB66F7C"/>
    <w:rsid w:val="2F04311D"/>
    <w:rsid w:val="2FDE0A0C"/>
    <w:rsid w:val="303152F2"/>
    <w:rsid w:val="319D6CD7"/>
    <w:rsid w:val="327B2543"/>
    <w:rsid w:val="328F7345"/>
    <w:rsid w:val="32B207B9"/>
    <w:rsid w:val="33226E62"/>
    <w:rsid w:val="339333F8"/>
    <w:rsid w:val="339F7436"/>
    <w:rsid w:val="34014CC9"/>
    <w:rsid w:val="340901A8"/>
    <w:rsid w:val="347D6A46"/>
    <w:rsid w:val="34AF7D1A"/>
    <w:rsid w:val="34C74165"/>
    <w:rsid w:val="34CF6B76"/>
    <w:rsid w:val="35651925"/>
    <w:rsid w:val="359B2B19"/>
    <w:rsid w:val="36E0150E"/>
    <w:rsid w:val="372B3722"/>
    <w:rsid w:val="376249DC"/>
    <w:rsid w:val="381C6A04"/>
    <w:rsid w:val="382245B5"/>
    <w:rsid w:val="384D672F"/>
    <w:rsid w:val="385B709E"/>
    <w:rsid w:val="38FA68B7"/>
    <w:rsid w:val="397B72CC"/>
    <w:rsid w:val="39BD2B0B"/>
    <w:rsid w:val="3A0D261A"/>
    <w:rsid w:val="3B3911ED"/>
    <w:rsid w:val="3C5207B8"/>
    <w:rsid w:val="3D3E2AEA"/>
    <w:rsid w:val="3DBB644C"/>
    <w:rsid w:val="3E045AE2"/>
    <w:rsid w:val="3E1D6FEE"/>
    <w:rsid w:val="3E2609B2"/>
    <w:rsid w:val="3FA4396D"/>
    <w:rsid w:val="3FE639A2"/>
    <w:rsid w:val="40E165AE"/>
    <w:rsid w:val="41483F38"/>
    <w:rsid w:val="41800E05"/>
    <w:rsid w:val="4190546D"/>
    <w:rsid w:val="422B5210"/>
    <w:rsid w:val="42323BE4"/>
    <w:rsid w:val="42710A18"/>
    <w:rsid w:val="42856EE8"/>
    <w:rsid w:val="42E126F9"/>
    <w:rsid w:val="430E62A6"/>
    <w:rsid w:val="436A0961"/>
    <w:rsid w:val="439C4CA1"/>
    <w:rsid w:val="43DB0122"/>
    <w:rsid w:val="447B7530"/>
    <w:rsid w:val="46327ECF"/>
    <w:rsid w:val="46340F2E"/>
    <w:rsid w:val="46827EEC"/>
    <w:rsid w:val="47462CC7"/>
    <w:rsid w:val="47514196"/>
    <w:rsid w:val="47547C8B"/>
    <w:rsid w:val="4765510B"/>
    <w:rsid w:val="477C1158"/>
    <w:rsid w:val="47FE17F4"/>
    <w:rsid w:val="48B0193B"/>
    <w:rsid w:val="49107A31"/>
    <w:rsid w:val="49B02C13"/>
    <w:rsid w:val="49C36851"/>
    <w:rsid w:val="49D024C2"/>
    <w:rsid w:val="49EA0282"/>
    <w:rsid w:val="4A8A736F"/>
    <w:rsid w:val="4AA62C09"/>
    <w:rsid w:val="4B5736F5"/>
    <w:rsid w:val="4BC15012"/>
    <w:rsid w:val="4BE17463"/>
    <w:rsid w:val="4C285091"/>
    <w:rsid w:val="4C3D1A0D"/>
    <w:rsid w:val="4CA3296A"/>
    <w:rsid w:val="4CE94821"/>
    <w:rsid w:val="4DAE16AC"/>
    <w:rsid w:val="4FB24F5B"/>
    <w:rsid w:val="4FD572DE"/>
    <w:rsid w:val="501C315F"/>
    <w:rsid w:val="501E5013"/>
    <w:rsid w:val="50726A1D"/>
    <w:rsid w:val="50BC3FFA"/>
    <w:rsid w:val="514618CF"/>
    <w:rsid w:val="518F170F"/>
    <w:rsid w:val="52546CFC"/>
    <w:rsid w:val="52A65B43"/>
    <w:rsid w:val="537C4F4F"/>
    <w:rsid w:val="53DD49B3"/>
    <w:rsid w:val="5406215C"/>
    <w:rsid w:val="5419546B"/>
    <w:rsid w:val="54297BF9"/>
    <w:rsid w:val="54F96869"/>
    <w:rsid w:val="558C4421"/>
    <w:rsid w:val="55AA7A38"/>
    <w:rsid w:val="560D130C"/>
    <w:rsid w:val="56723AD9"/>
    <w:rsid w:val="570A5ABF"/>
    <w:rsid w:val="571E77BD"/>
    <w:rsid w:val="582227B7"/>
    <w:rsid w:val="58904191"/>
    <w:rsid w:val="58B51B3C"/>
    <w:rsid w:val="59B14918"/>
    <w:rsid w:val="59E7767C"/>
    <w:rsid w:val="5A0E1D6B"/>
    <w:rsid w:val="5A5C0D28"/>
    <w:rsid w:val="5A913280"/>
    <w:rsid w:val="5ADA1261"/>
    <w:rsid w:val="5B280C0A"/>
    <w:rsid w:val="5BBB1A7E"/>
    <w:rsid w:val="5BBC5376"/>
    <w:rsid w:val="5BCB0874"/>
    <w:rsid w:val="5C7D171D"/>
    <w:rsid w:val="5DA46C2D"/>
    <w:rsid w:val="5DC015CE"/>
    <w:rsid w:val="5E0314BA"/>
    <w:rsid w:val="5E476F68"/>
    <w:rsid w:val="5E671A49"/>
    <w:rsid w:val="5F8B4DEB"/>
    <w:rsid w:val="5FCD297B"/>
    <w:rsid w:val="5FD21144"/>
    <w:rsid w:val="603618B0"/>
    <w:rsid w:val="60AF592A"/>
    <w:rsid w:val="60EC4488"/>
    <w:rsid w:val="611F7F72"/>
    <w:rsid w:val="614568A9"/>
    <w:rsid w:val="618E08DE"/>
    <w:rsid w:val="61A43C29"/>
    <w:rsid w:val="61E15FB7"/>
    <w:rsid w:val="624122FF"/>
    <w:rsid w:val="624E1F41"/>
    <w:rsid w:val="628A7254"/>
    <w:rsid w:val="634E7C05"/>
    <w:rsid w:val="637F4BC6"/>
    <w:rsid w:val="63C17912"/>
    <w:rsid w:val="650C394C"/>
    <w:rsid w:val="65130D39"/>
    <w:rsid w:val="651524DE"/>
    <w:rsid w:val="65A173C1"/>
    <w:rsid w:val="65CE6852"/>
    <w:rsid w:val="66282AD4"/>
    <w:rsid w:val="662C4499"/>
    <w:rsid w:val="6684054E"/>
    <w:rsid w:val="670C09A8"/>
    <w:rsid w:val="67B6759E"/>
    <w:rsid w:val="67C779FD"/>
    <w:rsid w:val="689B2F2E"/>
    <w:rsid w:val="6AEB755E"/>
    <w:rsid w:val="6C170C76"/>
    <w:rsid w:val="6C2E3BA6"/>
    <w:rsid w:val="6C445178"/>
    <w:rsid w:val="6C531AE8"/>
    <w:rsid w:val="6CA64BB5"/>
    <w:rsid w:val="6CBD17B5"/>
    <w:rsid w:val="6F9F47A5"/>
    <w:rsid w:val="6FBD3BBF"/>
    <w:rsid w:val="702B176E"/>
    <w:rsid w:val="71793B16"/>
    <w:rsid w:val="726339BA"/>
    <w:rsid w:val="7417661F"/>
    <w:rsid w:val="750C4CA1"/>
    <w:rsid w:val="76E47C83"/>
    <w:rsid w:val="76EA1012"/>
    <w:rsid w:val="773A0865"/>
    <w:rsid w:val="777314E5"/>
    <w:rsid w:val="779B2445"/>
    <w:rsid w:val="77E141C3"/>
    <w:rsid w:val="77F3308B"/>
    <w:rsid w:val="77F4039A"/>
    <w:rsid w:val="77F93C6D"/>
    <w:rsid w:val="7977760A"/>
    <w:rsid w:val="798F7449"/>
    <w:rsid w:val="79A656C4"/>
    <w:rsid w:val="79EA2C5F"/>
    <w:rsid w:val="7AD02F7B"/>
    <w:rsid w:val="7B1D73A2"/>
    <w:rsid w:val="7BEF155E"/>
    <w:rsid w:val="7C253132"/>
    <w:rsid w:val="7C631EB1"/>
    <w:rsid w:val="7E472E89"/>
    <w:rsid w:val="7EE84089"/>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qFormat/>
    <w:uiPriority w:val="0"/>
    <w:pPr>
      <w:spacing w:line="360" w:lineRule="auto"/>
      <w:jc w:val="both"/>
      <w:outlineLvl w:val="0"/>
    </w:pPr>
    <w:rPr>
      <w:rFonts w:ascii="Times New Roman" w:hAnsi="Times New Roman" w:cs="Times New Roman"/>
      <w:b/>
      <w:caps/>
      <w:szCs w:val="20"/>
      <w:u w:val="single"/>
      <w:lang w:eastAsia="en-US"/>
    </w:rPr>
  </w:style>
  <w:style w:type="paragraph" w:styleId="5">
    <w:name w:val="heading 2"/>
    <w:basedOn w:val="1"/>
    <w:next w:val="6"/>
    <w:qFormat/>
    <w:uiPriority w:val="9"/>
    <w:pPr>
      <w:keepNext/>
      <w:keepLines/>
      <w:widowControl w:val="0"/>
      <w:spacing w:before="260" w:after="260" w:line="416" w:lineRule="auto"/>
      <w:jc w:val="both"/>
      <w:outlineLvl w:val="1"/>
    </w:pPr>
    <w:rPr>
      <w:rFonts w:ascii="Cambria" w:hAnsi="Cambria" w:cs="Times New Roman"/>
      <w:b/>
      <w:bCs/>
      <w:kern w:val="2"/>
      <w:sz w:val="32"/>
      <w:szCs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tabs>
        <w:tab w:val="left" w:pos="567"/>
      </w:tabs>
      <w:spacing w:before="120" w:line="22" w:lineRule="atLeast"/>
      <w:jc w:val="both"/>
    </w:pPr>
    <w:rPr>
      <w:rFonts w:hint="eastAsia" w:cs="Times New Roman"/>
      <w:kern w:val="2"/>
      <w:szCs w:val="20"/>
    </w:rPr>
  </w:style>
  <w:style w:type="paragraph" w:styleId="3">
    <w:name w:val="Date"/>
    <w:basedOn w:val="1"/>
    <w:next w:val="1"/>
    <w:qFormat/>
    <w:uiPriority w:val="0"/>
    <w:pPr>
      <w:autoSpaceDE w:val="0"/>
      <w:autoSpaceDN w:val="0"/>
      <w:adjustRightInd w:val="0"/>
      <w:ind w:left="100" w:leftChars="2500"/>
      <w:jc w:val="left"/>
      <w:textAlignment w:val="baseline"/>
    </w:pPr>
    <w:rPr>
      <w:kern w:val="20"/>
      <w:sz w:val="22"/>
    </w:rPr>
  </w:style>
  <w:style w:type="paragraph" w:customStyle="1" w:styleId="6">
    <w:name w:val="AA正文"/>
    <w:basedOn w:val="1"/>
    <w:qFormat/>
    <w:uiPriority w:val="0"/>
    <w:pPr>
      <w:widowControl w:val="0"/>
      <w:snapToGrid w:val="0"/>
      <w:spacing w:line="360" w:lineRule="auto"/>
      <w:ind w:right="240" w:firstLine="480" w:firstLineChars="200"/>
      <w:jc w:val="both"/>
    </w:pPr>
    <w:rPr>
      <w:rFonts w:ascii="Times New Roman" w:hAnsi="Times New Roman" w:cs="Times New Roman"/>
      <w:kern w:val="2"/>
      <w:szCs w:val="21"/>
    </w:rPr>
  </w:style>
  <w:style w:type="paragraph" w:styleId="7">
    <w:name w:val="Normal Indent"/>
    <w:basedOn w:val="1"/>
    <w:qFormat/>
    <w:uiPriority w:val="0"/>
    <w:pPr>
      <w:widowControl w:val="0"/>
      <w:autoSpaceDE w:val="0"/>
      <w:autoSpaceDN w:val="0"/>
      <w:adjustRightInd w:val="0"/>
      <w:spacing w:line="360" w:lineRule="auto"/>
      <w:ind w:firstLine="420"/>
      <w:jc w:val="both"/>
    </w:pPr>
    <w:rPr>
      <w:rFonts w:hAnsi="Calibri" w:eastAsia="仿宋" w:cs="Times New Roman"/>
      <w:kern w:val="2"/>
    </w:rPr>
  </w:style>
  <w:style w:type="paragraph" w:styleId="8">
    <w:name w:val="annotation text"/>
    <w:basedOn w:val="1"/>
    <w:qFormat/>
    <w:uiPriority w:val="0"/>
    <w:pPr>
      <w:jc w:val="left"/>
    </w:pPr>
  </w:style>
  <w:style w:type="paragraph" w:styleId="9">
    <w:name w:val="Plain Text"/>
    <w:basedOn w:val="1"/>
    <w:qFormat/>
    <w:uiPriority w:val="0"/>
    <w:pPr>
      <w:widowControl w:val="0"/>
      <w:adjustRightInd w:val="0"/>
      <w:spacing w:line="360" w:lineRule="atLeast"/>
      <w:jc w:val="both"/>
      <w:textAlignment w:val="baseline"/>
    </w:pPr>
    <w:rPr>
      <w:rFonts w:hAnsi="Courier New" w:cs="Times New Roman"/>
      <w:kern w:val="2"/>
      <w:sz w:val="21"/>
      <w:szCs w:val="20"/>
    </w:rPr>
  </w:style>
  <w:style w:type="paragraph" w:styleId="10">
    <w:name w:val="footer"/>
    <w:basedOn w:val="1"/>
    <w:unhideWhenUsed/>
    <w:qFormat/>
    <w:uiPriority w:val="0"/>
    <w:pPr>
      <w:widowControl w:val="0"/>
      <w:tabs>
        <w:tab w:val="center" w:pos="4153"/>
        <w:tab w:val="right" w:pos="8306"/>
      </w:tabs>
      <w:snapToGrid w:val="0"/>
    </w:pPr>
    <w:rPr>
      <w:rFonts w:ascii="Calibri" w:hAnsi="Calibri" w:cs="Times New Roman"/>
      <w:kern w:val="2"/>
      <w:sz w:val="18"/>
      <w:szCs w:val="18"/>
    </w:rPr>
  </w:style>
  <w:style w:type="paragraph" w:styleId="11">
    <w:name w:val="header"/>
    <w:basedOn w:val="1"/>
    <w:unhideWhenUsed/>
    <w:qFormat/>
    <w:uiPriority w:val="0"/>
    <w:pPr>
      <w:widowControl w:val="0"/>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12">
    <w:name w:val="toc 1"/>
    <w:basedOn w:val="1"/>
    <w:next w:val="1"/>
    <w:unhideWhenUsed/>
    <w:qFormat/>
    <w:uiPriority w:val="39"/>
    <w:pPr>
      <w:widowControl w:val="0"/>
      <w:jc w:val="both"/>
    </w:pPr>
    <w:rPr>
      <w:rFonts w:ascii="Calibri" w:hAnsi="Calibri" w:cs="Times New Roman"/>
      <w:kern w:val="2"/>
      <w:sz w:val="21"/>
      <w:szCs w:val="22"/>
    </w:rPr>
  </w:style>
  <w:style w:type="paragraph" w:styleId="13">
    <w:name w:val="toc 2"/>
    <w:basedOn w:val="1"/>
    <w:next w:val="1"/>
    <w:unhideWhenUsed/>
    <w:qFormat/>
    <w:uiPriority w:val="39"/>
    <w:pPr>
      <w:widowControl w:val="0"/>
      <w:ind w:left="420" w:leftChars="200"/>
      <w:jc w:val="both"/>
    </w:pPr>
    <w:rPr>
      <w:rFonts w:ascii="Calibri" w:hAnsi="Calibri" w:cs="Times New Roman"/>
      <w:kern w:val="2"/>
      <w:sz w:val="21"/>
      <w:szCs w:val="22"/>
    </w:rPr>
  </w:style>
  <w:style w:type="paragraph" w:styleId="14">
    <w:name w:val="Body Text 2"/>
    <w:basedOn w:val="1"/>
    <w:qFormat/>
    <w:uiPriority w:val="0"/>
    <w:pPr>
      <w:widowControl w:val="0"/>
      <w:spacing w:after="120" w:line="480" w:lineRule="auto"/>
      <w:jc w:val="both"/>
    </w:pPr>
    <w:rPr>
      <w:rFonts w:ascii="Calibri" w:hAnsi="Calibri" w:cs="Times New Roman"/>
      <w:kern w:val="2"/>
      <w:sz w:val="21"/>
    </w:rPr>
  </w:style>
  <w:style w:type="paragraph" w:styleId="15">
    <w:name w:val="Normal (Web)"/>
    <w:basedOn w:val="1"/>
    <w:unhideWhenUsed/>
    <w:qFormat/>
    <w:uiPriority w:val="99"/>
    <w:pPr>
      <w:spacing w:before="100" w:beforeAutospacing="1" w:after="100" w:afterAutospacing="1"/>
    </w:pPr>
  </w:style>
  <w:style w:type="paragraph" w:styleId="16">
    <w:name w:val="Title"/>
    <w:basedOn w:val="1"/>
    <w:qFormat/>
    <w:uiPriority w:val="0"/>
    <w:pPr>
      <w:widowControl w:val="0"/>
      <w:spacing w:before="240" w:after="60"/>
      <w:jc w:val="center"/>
      <w:outlineLvl w:val="0"/>
    </w:pPr>
    <w:rPr>
      <w:rFonts w:ascii="Arial" w:hAnsi="Arial" w:cs="Arial"/>
      <w:b/>
      <w:bCs/>
      <w:kern w:val="2"/>
      <w:sz w:val="32"/>
      <w:szCs w:val="32"/>
    </w:rPr>
  </w:style>
  <w:style w:type="character" w:styleId="19">
    <w:name w:val="Hyperlink"/>
    <w:unhideWhenUsed/>
    <w:qFormat/>
    <w:uiPriority w:val="99"/>
    <w:rPr>
      <w:color w:val="0000FF"/>
      <w:u w:val="single"/>
    </w:rPr>
  </w:style>
  <w:style w:type="paragraph" w:customStyle="1" w:styleId="20">
    <w:name w:val="TOC 标题1"/>
    <w:basedOn w:val="4"/>
    <w:next w:val="1"/>
    <w:unhideWhenUsed/>
    <w:qFormat/>
    <w:uiPriority w:val="39"/>
    <w:pPr>
      <w:keepNext/>
      <w:keepLines/>
      <w:spacing w:before="240" w:line="259" w:lineRule="auto"/>
      <w:jc w:val="left"/>
      <w:outlineLvl w:val="9"/>
    </w:pPr>
    <w:rPr>
      <w:rFonts w:ascii="Cambria" w:hAnsi="Cambria"/>
      <w:b w:val="0"/>
      <w:caps w:val="0"/>
      <w:color w:val="365F91"/>
      <w:sz w:val="32"/>
      <w:szCs w:val="32"/>
      <w:u w:val="none"/>
      <w:lang w:eastAsia="zh-CN"/>
    </w:rPr>
  </w:style>
  <w:style w:type="paragraph" w:customStyle="1" w:styleId="21">
    <w:name w:val="列出段落1"/>
    <w:basedOn w:val="1"/>
    <w:qFormat/>
    <w:uiPriority w:val="34"/>
    <w:pPr>
      <w:widowControl w:val="0"/>
      <w:ind w:firstLine="420" w:firstLineChars="200"/>
      <w:jc w:val="both"/>
    </w:pPr>
    <w:rPr>
      <w:rFonts w:ascii="Calibri" w:hAnsi="Calibri" w:cs="Times New Roman"/>
      <w:kern w:val="2"/>
      <w:sz w:val="21"/>
      <w:szCs w:val="22"/>
    </w:rPr>
  </w:style>
  <w:style w:type="paragraph" w:customStyle="1" w:styleId="22">
    <w:name w:val="无间隔1"/>
    <w:qFormat/>
    <w:uiPriority w:val="1"/>
    <w:pPr>
      <w:widowControl w:val="0"/>
      <w:jc w:val="both"/>
    </w:pPr>
    <w:rPr>
      <w:rFonts w:ascii="Times New Roman" w:hAnsi="Times New Roman" w:eastAsia="仿宋_GB2312" w:cs="Times New Roman"/>
      <w:kern w:val="2"/>
      <w:sz w:val="32"/>
      <w:szCs w:val="24"/>
      <w:lang w:val="en-US" w:eastAsia="zh-CN" w:bidi="ar-SA"/>
    </w:rPr>
  </w:style>
  <w:style w:type="paragraph" w:customStyle="1" w:styleId="23">
    <w:name w:val="Fließtext"/>
    <w:basedOn w:val="1"/>
    <w:qFormat/>
    <w:uiPriority w:val="0"/>
    <w:pPr>
      <w:widowControl w:val="0"/>
      <w:overflowPunct w:val="0"/>
      <w:autoSpaceDE w:val="0"/>
      <w:autoSpaceDN w:val="0"/>
      <w:adjustRightInd w:val="0"/>
      <w:spacing w:line="360" w:lineRule="auto"/>
      <w:jc w:val="both"/>
      <w:textAlignment w:val="baseline"/>
    </w:pPr>
    <w:rPr>
      <w:rFonts w:ascii="Calibri" w:hAnsi="Calibri" w:eastAsia="仿宋" w:cs="Times New Roman"/>
      <w:kern w:val="28"/>
    </w:rPr>
  </w:style>
  <w:style w:type="paragraph" w:customStyle="1" w:styleId="24">
    <w:name w:val="正文段"/>
    <w:basedOn w:val="1"/>
    <w:qFormat/>
    <w:uiPriority w:val="0"/>
    <w:pPr>
      <w:snapToGrid w:val="0"/>
      <w:spacing w:afterLines="50"/>
      <w:ind w:firstLine="200" w:firstLineChars="200"/>
      <w:jc w:val="both"/>
    </w:pPr>
    <w:rPr>
      <w:rFonts w:ascii="Calibri" w:hAnsi="Calibri" w:cs="Times New Roman"/>
      <w:szCs w:val="20"/>
    </w:rPr>
  </w:style>
  <w:style w:type="paragraph" w:customStyle="1" w:styleId="25">
    <w:name w:val="样式 小四 段前: 5 磅 段后: 5 磅 首行缩进:  2 字符"/>
    <w:basedOn w:val="1"/>
    <w:qFormat/>
    <w:uiPriority w:val="0"/>
    <w:pPr>
      <w:widowControl w:val="0"/>
      <w:spacing w:before="100" w:after="156" w:afterLines="50" w:line="360" w:lineRule="auto"/>
      <w:jc w:val="both"/>
    </w:pPr>
    <w:rPr>
      <w:rFonts w:cs="Times New Roman"/>
      <w:szCs w:val="21"/>
    </w:rPr>
  </w:style>
  <w:style w:type="paragraph" w:customStyle="1" w:styleId="26">
    <w:name w:val="Table Text"/>
    <w:basedOn w:val="1"/>
    <w:semiHidden/>
    <w:qFormat/>
    <w:uiPriority w:val="0"/>
    <w:rPr>
      <w:rFonts w:ascii="宋体" w:hAnsi="宋体" w:eastAsia="宋体" w:cs="宋体"/>
      <w:sz w:val="24"/>
      <w:szCs w:val="24"/>
      <w:lang w:val="en-US" w:eastAsia="en-US" w:bidi="ar-SA"/>
    </w:rPr>
  </w:style>
  <w:style w:type="paragraph" w:customStyle="1" w:styleId="27">
    <w:name w:val="null3"/>
    <w:hidden/>
    <w:qFormat/>
    <w:uiPriority w:val="0"/>
    <w:rPr>
      <w:rFonts w:hint="eastAsia" w:asciiTheme="minorHAnsi" w:hAnsiTheme="minorHAnsi" w:eastAsiaTheme="minorEastAsia" w:cstheme="minorBidi"/>
      <w:lang w:val="en-US" w:eastAsia="zh-Hans"/>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customStyle="1" w:styleId="29">
    <w:name w:val="正文11"/>
    <w:basedOn w:val="1"/>
    <w:qFormat/>
    <w:uiPriority w:val="0"/>
    <w:pPr>
      <w:spacing w:line="360" w:lineRule="auto"/>
      <w:ind w:firstLine="482"/>
    </w:pPr>
    <w:rPr>
      <w:rFonts w:ascii="仿宋" w:hAnsi="仿宋" w:eastAsia="仿宋"/>
      <w:sz w:val="24"/>
    </w:rPr>
  </w:style>
  <w:style w:type="character" w:customStyle="1" w:styleId="30">
    <w:name w:val="font01"/>
    <w:basedOn w:val="18"/>
    <w:qFormat/>
    <w:uiPriority w:val="0"/>
    <w:rPr>
      <w:rFonts w:hint="eastAsia" w:ascii="宋体" w:hAnsi="宋体" w:eastAsia="宋体" w:cs="宋体"/>
      <w:color w:val="000000"/>
      <w:sz w:val="22"/>
      <w:szCs w:val="22"/>
      <w:u w:val="none"/>
    </w:rPr>
  </w:style>
  <w:style w:type="character" w:customStyle="1" w:styleId="31">
    <w:name w:val="font3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512</Words>
  <Characters>539</Characters>
  <Lines>0</Lines>
  <Paragraphs>0</Paragraphs>
  <TotalTime>2</TotalTime>
  <ScaleCrop>false</ScaleCrop>
  <LinksUpToDate>false</LinksUpToDate>
  <CharactersWithSpaces>693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2024-11-05T01:20:00Z</dcterms:created>
  <dc:creator>Zeo☀</dc:creator>
  <cp:lastModifiedBy>詹明渊</cp:lastModifiedBy>
  <dcterms:modified xsi:type="dcterms:W3CDTF">2025-06-19T09:06:00Z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C086A884EA4347FCBF8B1356C58242D9_13</vt:lpwstr>
  </property>
  <property fmtid="{D5CDD505-2E9C-101B-9397-08002B2CF9AE}" pid="4" name="KSOTemplateDocerSaveRecord">
    <vt:lpwstr>eyJoZGlkIjoiZmI0ODhmZTY0ZTg5MGU1MTRlMjExYWYwZDlkZTBiNDQiLCJ1c2VySWQiOiIxNjc1MTYwMzE0In0=</vt:lpwstr>
  </property>
</Properties>
</file>