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564AA">
      <w:pPr>
        <w:spacing w:line="560" w:lineRule="exact"/>
        <w:jc w:val="center"/>
        <w:rPr>
          <w:rFonts w:ascii="Times New Roman" w:hAnsi="Times New Roman"/>
          <w:b/>
          <w:w w:val="90"/>
          <w:sz w:val="52"/>
          <w:szCs w:val="52"/>
        </w:rPr>
      </w:pPr>
    </w:p>
    <w:p w14:paraId="7AE57433">
      <w:pPr>
        <w:spacing w:line="560" w:lineRule="exact"/>
        <w:jc w:val="center"/>
        <w:rPr>
          <w:rFonts w:ascii="Times New Roman" w:hAnsi="Times New Roman" w:eastAsia="仿宋" w:cs="仿宋"/>
          <w:b/>
          <w:w w:val="90"/>
          <w:sz w:val="52"/>
          <w:szCs w:val="52"/>
        </w:rPr>
      </w:pPr>
    </w:p>
    <w:p w14:paraId="2130D869">
      <w:pPr>
        <w:keepNext w:val="0"/>
        <w:keepLines w:val="0"/>
        <w:pageBreakBefore w:val="0"/>
        <w:widowControl/>
        <w:tabs>
          <w:tab w:val="left" w:pos="2634"/>
        </w:tabs>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ascii="Times New Roman" w:hAnsi="Times New Roman" w:eastAsia="仿宋" w:cs="仿宋"/>
          <w:b/>
          <w:w w:val="90"/>
          <w:sz w:val="44"/>
          <w:szCs w:val="44"/>
          <w:lang w:eastAsia="zh-CN"/>
        </w:rPr>
        <w:t>大屏显示系统建设项目</w:t>
      </w:r>
    </w:p>
    <w:p w14:paraId="7F6A5F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黑体"/>
          <w:b/>
          <w:bCs/>
          <w:sz w:val="52"/>
          <w:szCs w:val="52"/>
        </w:rPr>
      </w:pPr>
      <w:r>
        <w:rPr>
          <w:rFonts w:hint="eastAsia" w:ascii="Times New Roman" w:hAnsi="Times New Roman" w:cs="黑体"/>
          <w:b/>
          <w:bCs/>
          <w:sz w:val="52"/>
          <w:szCs w:val="52"/>
        </w:rPr>
        <w:t>比选文件</w:t>
      </w:r>
    </w:p>
    <w:p w14:paraId="1F26F8C6">
      <w:pPr>
        <w:spacing w:line="560" w:lineRule="exact"/>
        <w:jc w:val="center"/>
        <w:rPr>
          <w:rFonts w:ascii="Times New Roman" w:hAnsi="Times New Roman"/>
          <w:b/>
          <w:sz w:val="36"/>
          <w:szCs w:val="20"/>
        </w:rPr>
      </w:pPr>
    </w:p>
    <w:p w14:paraId="78B40E56">
      <w:pPr>
        <w:spacing w:line="560" w:lineRule="exact"/>
        <w:rPr>
          <w:rFonts w:ascii="Times New Roman" w:hAnsi="Times New Roman"/>
          <w:szCs w:val="20"/>
        </w:rPr>
      </w:pPr>
    </w:p>
    <w:p w14:paraId="7BA5B527">
      <w:pPr>
        <w:spacing w:line="560" w:lineRule="exact"/>
        <w:jc w:val="center"/>
        <w:rPr>
          <w:rFonts w:ascii="Times New Roman" w:hAnsi="Times New Roman"/>
          <w:b/>
          <w:sz w:val="28"/>
          <w:szCs w:val="20"/>
        </w:rPr>
      </w:pPr>
    </w:p>
    <w:p w14:paraId="22F312F8">
      <w:pPr>
        <w:spacing w:line="560" w:lineRule="exact"/>
        <w:jc w:val="center"/>
        <w:rPr>
          <w:rFonts w:ascii="Times New Roman" w:hAnsi="Times New Roman"/>
          <w:b/>
          <w:sz w:val="28"/>
          <w:szCs w:val="20"/>
        </w:rPr>
      </w:pPr>
    </w:p>
    <w:p w14:paraId="11F1BB08">
      <w:pPr>
        <w:spacing w:line="560" w:lineRule="exact"/>
        <w:jc w:val="center"/>
        <w:rPr>
          <w:rFonts w:ascii="Times New Roman" w:hAnsi="Times New Roman"/>
          <w:b/>
          <w:sz w:val="28"/>
          <w:szCs w:val="20"/>
        </w:rPr>
      </w:pPr>
    </w:p>
    <w:p w14:paraId="1402EC3A">
      <w:pPr>
        <w:tabs>
          <w:tab w:val="left" w:pos="7380"/>
        </w:tabs>
        <w:spacing w:line="560" w:lineRule="exact"/>
        <w:rPr>
          <w:rFonts w:ascii="Times New Roman" w:hAnsi="Times New Roman"/>
          <w:b/>
          <w:sz w:val="28"/>
          <w:szCs w:val="20"/>
        </w:rPr>
      </w:pPr>
      <w:r>
        <w:rPr>
          <w:rFonts w:ascii="Times New Roman" w:hAnsi="Times New Roman"/>
          <w:b/>
          <w:sz w:val="28"/>
          <w:szCs w:val="20"/>
        </w:rPr>
        <w:tab/>
      </w:r>
    </w:p>
    <w:p w14:paraId="06B6BF3C">
      <w:pPr>
        <w:spacing w:line="560" w:lineRule="exact"/>
        <w:jc w:val="center"/>
        <w:rPr>
          <w:rFonts w:ascii="Times New Roman" w:hAnsi="Times New Roman"/>
          <w:b/>
          <w:sz w:val="28"/>
          <w:szCs w:val="20"/>
        </w:rPr>
      </w:pPr>
    </w:p>
    <w:p w14:paraId="08BE352D">
      <w:pPr>
        <w:spacing w:line="560" w:lineRule="exact"/>
        <w:jc w:val="center"/>
        <w:rPr>
          <w:rFonts w:ascii="Times New Roman" w:hAnsi="Times New Roman"/>
          <w:b/>
          <w:sz w:val="28"/>
          <w:szCs w:val="20"/>
        </w:rPr>
      </w:pPr>
    </w:p>
    <w:p w14:paraId="2B1ED074">
      <w:pPr>
        <w:spacing w:line="560" w:lineRule="exact"/>
        <w:jc w:val="center"/>
        <w:rPr>
          <w:rFonts w:ascii="Times New Roman" w:hAnsi="Times New Roman"/>
          <w:b/>
          <w:sz w:val="28"/>
          <w:szCs w:val="20"/>
        </w:rPr>
      </w:pPr>
    </w:p>
    <w:p w14:paraId="38D27FF5">
      <w:pPr>
        <w:spacing w:line="560" w:lineRule="exact"/>
        <w:jc w:val="center"/>
        <w:rPr>
          <w:rFonts w:ascii="Times New Roman" w:hAnsi="Times New Roman"/>
          <w:b/>
          <w:sz w:val="28"/>
          <w:szCs w:val="20"/>
        </w:rPr>
      </w:pPr>
    </w:p>
    <w:p w14:paraId="5C48CACA">
      <w:pPr>
        <w:spacing w:line="560" w:lineRule="exact"/>
        <w:jc w:val="center"/>
        <w:rPr>
          <w:rFonts w:ascii="Times New Roman" w:hAnsi="Times New Roman"/>
          <w:b/>
          <w:sz w:val="28"/>
          <w:szCs w:val="20"/>
        </w:rPr>
      </w:pPr>
    </w:p>
    <w:p w14:paraId="0B93C323">
      <w:pPr>
        <w:spacing w:line="560" w:lineRule="exact"/>
        <w:jc w:val="center"/>
        <w:rPr>
          <w:rFonts w:ascii="Times New Roman" w:hAnsi="Times New Roman"/>
          <w:b/>
          <w:sz w:val="28"/>
          <w:szCs w:val="20"/>
        </w:rPr>
      </w:pPr>
    </w:p>
    <w:p w14:paraId="6B0FD17A">
      <w:pPr>
        <w:spacing w:line="560" w:lineRule="exact"/>
        <w:jc w:val="center"/>
        <w:rPr>
          <w:rFonts w:ascii="Times New Roman" w:hAnsi="Times New Roman"/>
          <w:b/>
          <w:sz w:val="28"/>
          <w:szCs w:val="20"/>
        </w:rPr>
      </w:pPr>
    </w:p>
    <w:p w14:paraId="06A2F532">
      <w:pPr>
        <w:spacing w:line="560" w:lineRule="exact"/>
        <w:jc w:val="center"/>
        <w:rPr>
          <w:rFonts w:ascii="Times New Roman" w:hAnsi="Times New Roman"/>
          <w:b/>
          <w:sz w:val="28"/>
          <w:szCs w:val="20"/>
        </w:rPr>
      </w:pPr>
    </w:p>
    <w:p w14:paraId="2E80BFB4">
      <w:pPr>
        <w:spacing w:line="560" w:lineRule="exact"/>
        <w:jc w:val="center"/>
        <w:rPr>
          <w:rFonts w:ascii="Times New Roman" w:hAnsi="Times New Roman"/>
          <w:b/>
          <w:sz w:val="36"/>
          <w:szCs w:val="20"/>
        </w:rPr>
      </w:pPr>
      <w:r>
        <w:rPr>
          <w:rFonts w:hint="eastAsia" w:ascii="Times New Roman" w:hAnsi="Times New Roman"/>
          <w:b/>
          <w:sz w:val="36"/>
          <w:szCs w:val="36"/>
        </w:rPr>
        <w:t>福建省能源石化信息科技有限责任公司</w:t>
      </w:r>
    </w:p>
    <w:p w14:paraId="25F21D74">
      <w:pPr>
        <w:spacing w:line="560" w:lineRule="exact"/>
        <w:jc w:val="center"/>
        <w:rPr>
          <w:rFonts w:ascii="Times New Roman" w:hAnsi="Times New Roman"/>
          <w:b/>
          <w:sz w:val="36"/>
          <w:szCs w:val="20"/>
        </w:rPr>
      </w:pPr>
      <w:r>
        <w:rPr>
          <w:rFonts w:hint="eastAsia" w:ascii="Times New Roman" w:hAnsi="Times New Roman"/>
          <w:b/>
          <w:sz w:val="36"/>
          <w:szCs w:val="20"/>
        </w:rPr>
        <w:t>二〇二</w:t>
      </w:r>
      <w:r>
        <w:rPr>
          <w:rFonts w:hint="eastAsia" w:ascii="Times New Roman" w:hAnsi="Times New Roman"/>
          <w:b/>
          <w:sz w:val="36"/>
          <w:szCs w:val="20"/>
          <w:lang w:val="en-US" w:eastAsia="zh-CN"/>
        </w:rPr>
        <w:t>五</w:t>
      </w:r>
      <w:r>
        <w:rPr>
          <w:rFonts w:hint="eastAsia" w:ascii="Times New Roman" w:hAnsi="Times New Roman"/>
          <w:b/>
          <w:sz w:val="36"/>
          <w:szCs w:val="20"/>
        </w:rPr>
        <w:t>年</w:t>
      </w:r>
      <w:r>
        <w:rPr>
          <w:rFonts w:hint="eastAsia" w:ascii="Times New Roman" w:hAnsi="Times New Roman"/>
          <w:b/>
          <w:sz w:val="36"/>
          <w:szCs w:val="20"/>
          <w:lang w:val="en-US" w:eastAsia="zh-CN"/>
        </w:rPr>
        <w:t>六</w:t>
      </w:r>
      <w:r>
        <w:rPr>
          <w:rFonts w:hint="eastAsia" w:ascii="Times New Roman" w:hAnsi="Times New Roman"/>
          <w:b/>
          <w:sz w:val="36"/>
          <w:szCs w:val="20"/>
        </w:rPr>
        <w:t>月</w:t>
      </w:r>
    </w:p>
    <w:p w14:paraId="326564CC">
      <w:pPr>
        <w:spacing w:line="560" w:lineRule="exact"/>
        <w:rPr>
          <w:rFonts w:ascii="Times New Roman" w:hAnsi="Times New Roman"/>
        </w:rPr>
      </w:pPr>
    </w:p>
    <w:p w14:paraId="5C65771B">
      <w:pPr>
        <w:pStyle w:val="20"/>
        <w:spacing w:before="0" w:line="560" w:lineRule="exact"/>
        <w:jc w:val="center"/>
        <w:rPr>
          <w:rFonts w:ascii="Times New Roman" w:hAnsi="Times New Roman"/>
          <w:b/>
          <w:color w:val="auto"/>
          <w:sz w:val="30"/>
          <w:szCs w:val="30"/>
          <w:lang w:val="zh-CN"/>
        </w:rPr>
        <w:sectPr>
          <w:footerReference r:id="rId5" w:type="first"/>
          <w:headerReference r:id="rId3" w:type="default"/>
          <w:footerReference r:id="rId4" w:type="default"/>
          <w:pgSz w:w="11906" w:h="16838"/>
          <w:pgMar w:top="1361" w:right="1134" w:bottom="1134" w:left="1418" w:header="907" w:footer="992" w:gutter="0"/>
          <w:pgNumType w:fmt="numberInDash"/>
          <w:cols w:space="720" w:num="1"/>
          <w:titlePg/>
          <w:docGrid w:linePitch="312" w:charSpace="0"/>
        </w:sectPr>
      </w:pPr>
    </w:p>
    <w:p w14:paraId="5FCD53D7">
      <w:pPr>
        <w:pStyle w:val="20"/>
        <w:spacing w:before="0" w:line="560" w:lineRule="exact"/>
        <w:jc w:val="center"/>
        <w:rPr>
          <w:rFonts w:ascii="Times New Roman" w:hAnsi="Times New Roman"/>
          <w:b/>
          <w:color w:val="auto"/>
          <w:sz w:val="30"/>
          <w:szCs w:val="30"/>
        </w:rPr>
      </w:pPr>
      <w:bookmarkStart w:id="0" w:name="_Toc8060"/>
      <w:bookmarkStart w:id="1" w:name="_Toc27944"/>
      <w:bookmarkStart w:id="2" w:name="_Toc28943"/>
      <w:bookmarkStart w:id="3" w:name="_Toc32680"/>
      <w:bookmarkStart w:id="4" w:name="_Toc11819"/>
      <w:bookmarkStart w:id="5" w:name="_Toc5443"/>
      <w:bookmarkStart w:id="6" w:name="_Toc26361"/>
      <w:r>
        <w:rPr>
          <w:rFonts w:ascii="Times New Roman" w:hAnsi="Times New Roman"/>
          <w:b/>
          <w:color w:val="auto"/>
          <w:sz w:val="30"/>
          <w:szCs w:val="30"/>
          <w:lang w:val="zh-CN"/>
        </w:rPr>
        <w:t>目录</w:t>
      </w:r>
      <w:bookmarkEnd w:id="0"/>
      <w:bookmarkEnd w:id="1"/>
      <w:bookmarkEnd w:id="2"/>
      <w:bookmarkEnd w:id="3"/>
      <w:bookmarkEnd w:id="4"/>
      <w:bookmarkEnd w:id="5"/>
      <w:bookmarkEnd w:id="6"/>
    </w:p>
    <w:p w14:paraId="5CA2FC0C">
      <w:pPr>
        <w:pStyle w:val="12"/>
        <w:tabs>
          <w:tab w:val="right" w:leader="dot" w:pos="9354"/>
        </w:tabs>
      </w:pPr>
      <w:r>
        <w:rPr>
          <w:rFonts w:hint="eastAsia" w:ascii="Times New Roman" w:hAnsi="Times New Roman" w:eastAsia="仿宋" w:cs="仿宋"/>
          <w:b/>
          <w:szCs w:val="21"/>
        </w:rPr>
        <w:fldChar w:fldCharType="begin"/>
      </w:r>
      <w:r>
        <w:rPr>
          <w:rFonts w:hint="eastAsia" w:ascii="Times New Roman" w:hAnsi="Times New Roman" w:eastAsia="仿宋" w:cs="仿宋"/>
          <w:b/>
          <w:szCs w:val="21"/>
        </w:rPr>
        <w:instrText xml:space="preserve"> TOC \o "1-3" \h \z \u </w:instrText>
      </w:r>
      <w:r>
        <w:rPr>
          <w:rFonts w:hint="eastAsia" w:ascii="Times New Roman" w:hAnsi="Times New Roman" w:eastAsia="仿宋" w:cs="仿宋"/>
          <w:b/>
          <w:szCs w:val="21"/>
        </w:rPr>
        <w:fldChar w:fldCharType="separate"/>
      </w:r>
      <w:r>
        <w:rPr>
          <w:rFonts w:hint="eastAsia" w:ascii="Times New Roman" w:hAnsi="Times New Roman" w:eastAsia="仿宋" w:cs="仿宋"/>
          <w:szCs w:val="21"/>
        </w:rPr>
        <w:fldChar w:fldCharType="begin"/>
      </w:r>
      <w:r>
        <w:rPr>
          <w:rFonts w:hint="eastAsia" w:ascii="Times New Roman" w:hAnsi="Times New Roman" w:eastAsia="仿宋" w:cs="仿宋"/>
          <w:szCs w:val="21"/>
        </w:rPr>
        <w:instrText xml:space="preserve"> HYPERLINK \l _Toc29025 </w:instrText>
      </w:r>
      <w:r>
        <w:rPr>
          <w:rFonts w:hint="eastAsia" w:ascii="Times New Roman" w:hAnsi="Times New Roman" w:eastAsia="仿宋" w:cs="仿宋"/>
          <w:szCs w:val="21"/>
        </w:rPr>
        <w:fldChar w:fldCharType="separate"/>
      </w:r>
      <w:r>
        <w:rPr>
          <w:rFonts w:hint="eastAsia" w:ascii="Times New Roman" w:hAnsi="Times New Roman" w:eastAsia="仿宋"/>
          <w:szCs w:val="44"/>
        </w:rPr>
        <w:t>第一章  比选公告</w:t>
      </w:r>
      <w:r>
        <w:tab/>
      </w:r>
      <w:r>
        <w:fldChar w:fldCharType="begin"/>
      </w:r>
      <w:r>
        <w:instrText xml:space="preserve"> PAGEREF _Toc29025 \h </w:instrText>
      </w:r>
      <w:r>
        <w:fldChar w:fldCharType="separate"/>
      </w:r>
      <w:r>
        <w:t>- 3 -</w:t>
      </w:r>
      <w:r>
        <w:fldChar w:fldCharType="end"/>
      </w:r>
      <w:r>
        <w:rPr>
          <w:rFonts w:hint="eastAsia" w:ascii="Times New Roman" w:hAnsi="Times New Roman" w:eastAsia="仿宋" w:cs="仿宋"/>
          <w:szCs w:val="21"/>
        </w:rPr>
        <w:fldChar w:fldCharType="end"/>
      </w:r>
    </w:p>
    <w:p w14:paraId="2891F5B8">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_Toc3946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第二章  比选须知</w:t>
      </w:r>
      <w:r>
        <w:tab/>
      </w:r>
      <w:r>
        <w:fldChar w:fldCharType="begin"/>
      </w:r>
      <w:r>
        <w:instrText xml:space="preserve"> PAGEREF _Toc3946 \h </w:instrText>
      </w:r>
      <w:r>
        <w:fldChar w:fldCharType="separate"/>
      </w:r>
      <w:r>
        <w:t>- 5 -</w:t>
      </w:r>
      <w:r>
        <w:fldChar w:fldCharType="end"/>
      </w:r>
      <w:r>
        <w:rPr>
          <w:rFonts w:hint="eastAsia" w:ascii="Times New Roman" w:hAnsi="Times New Roman" w:eastAsia="仿宋" w:cs="仿宋"/>
          <w:bCs/>
          <w:szCs w:val="21"/>
          <w:lang w:val="zh-CN"/>
        </w:rPr>
        <w:fldChar w:fldCharType="end"/>
      </w:r>
    </w:p>
    <w:p w14:paraId="300EF8C8">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_Toc29478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一、比选范围</w:t>
      </w:r>
      <w:r>
        <w:tab/>
      </w:r>
      <w:r>
        <w:fldChar w:fldCharType="begin"/>
      </w:r>
      <w:r>
        <w:instrText xml:space="preserve"> PAGEREF _Toc29478 \h </w:instrText>
      </w:r>
      <w:r>
        <w:fldChar w:fldCharType="separate"/>
      </w:r>
      <w:r>
        <w:t>- 5 -</w:t>
      </w:r>
      <w:r>
        <w:fldChar w:fldCharType="end"/>
      </w:r>
      <w:r>
        <w:rPr>
          <w:rFonts w:hint="eastAsia" w:ascii="Times New Roman" w:hAnsi="Times New Roman" w:eastAsia="仿宋" w:cs="仿宋"/>
          <w:bCs/>
          <w:szCs w:val="21"/>
          <w:lang w:val="zh-CN"/>
        </w:rPr>
        <w:fldChar w:fldCharType="end"/>
      </w:r>
    </w:p>
    <w:p w14:paraId="1086AF99">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_Toc17561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二、定义和解释</w:t>
      </w:r>
      <w:r>
        <w:tab/>
      </w:r>
      <w:r>
        <w:fldChar w:fldCharType="begin"/>
      </w:r>
      <w:r>
        <w:instrText xml:space="preserve"> PAGEREF _Toc17561 \h </w:instrText>
      </w:r>
      <w:r>
        <w:fldChar w:fldCharType="separate"/>
      </w:r>
      <w:r>
        <w:t>- 5 -</w:t>
      </w:r>
      <w:r>
        <w:fldChar w:fldCharType="end"/>
      </w:r>
      <w:r>
        <w:rPr>
          <w:rFonts w:hint="eastAsia" w:ascii="Times New Roman" w:hAnsi="Times New Roman" w:eastAsia="仿宋" w:cs="仿宋"/>
          <w:bCs/>
          <w:szCs w:val="21"/>
          <w:lang w:val="zh-CN"/>
        </w:rPr>
        <w:fldChar w:fldCharType="end"/>
      </w:r>
    </w:p>
    <w:p w14:paraId="15D8AD25">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_Toc30646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三、比选文件组成</w:t>
      </w:r>
      <w:r>
        <w:tab/>
      </w:r>
      <w:r>
        <w:fldChar w:fldCharType="begin"/>
      </w:r>
      <w:r>
        <w:instrText xml:space="preserve"> PAGEREF _Toc30646 \h </w:instrText>
      </w:r>
      <w:r>
        <w:fldChar w:fldCharType="separate"/>
      </w:r>
      <w:r>
        <w:t>- 5 -</w:t>
      </w:r>
      <w:r>
        <w:fldChar w:fldCharType="end"/>
      </w:r>
      <w:r>
        <w:rPr>
          <w:rFonts w:hint="eastAsia" w:ascii="Times New Roman" w:hAnsi="Times New Roman" w:eastAsia="仿宋" w:cs="仿宋"/>
          <w:bCs/>
          <w:szCs w:val="21"/>
          <w:lang w:val="zh-CN"/>
        </w:rPr>
        <w:fldChar w:fldCharType="end"/>
      </w:r>
    </w:p>
    <w:p w14:paraId="7B0F5568">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_Toc20398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四、比选文件的澄清</w:t>
      </w:r>
      <w:r>
        <w:tab/>
      </w:r>
      <w:r>
        <w:fldChar w:fldCharType="begin"/>
      </w:r>
      <w:r>
        <w:instrText xml:space="preserve"> PAGEREF _Toc20398 \h </w:instrText>
      </w:r>
      <w:r>
        <w:fldChar w:fldCharType="separate"/>
      </w:r>
      <w:r>
        <w:t>- 6 -</w:t>
      </w:r>
      <w:r>
        <w:fldChar w:fldCharType="end"/>
      </w:r>
      <w:r>
        <w:rPr>
          <w:rFonts w:hint="eastAsia" w:ascii="Times New Roman" w:hAnsi="Times New Roman" w:eastAsia="仿宋" w:cs="仿宋"/>
          <w:bCs/>
          <w:szCs w:val="21"/>
          <w:lang w:val="zh-CN"/>
        </w:rPr>
        <w:fldChar w:fldCharType="end"/>
      </w:r>
    </w:p>
    <w:p w14:paraId="45404FB8">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_Toc31950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五、比选文件的修改、补充</w:t>
      </w:r>
      <w:r>
        <w:tab/>
      </w:r>
      <w:r>
        <w:fldChar w:fldCharType="begin"/>
      </w:r>
      <w:r>
        <w:instrText xml:space="preserve"> PAGEREF _Toc31950 \h </w:instrText>
      </w:r>
      <w:r>
        <w:fldChar w:fldCharType="separate"/>
      </w:r>
      <w:r>
        <w:t>- 6 -</w:t>
      </w:r>
      <w:r>
        <w:fldChar w:fldCharType="end"/>
      </w:r>
      <w:r>
        <w:rPr>
          <w:rFonts w:hint="eastAsia" w:ascii="Times New Roman" w:hAnsi="Times New Roman" w:eastAsia="仿宋" w:cs="仿宋"/>
          <w:bCs/>
          <w:szCs w:val="21"/>
          <w:lang w:val="zh-CN"/>
        </w:rPr>
        <w:fldChar w:fldCharType="end"/>
      </w:r>
    </w:p>
    <w:p w14:paraId="03DDDFF0">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_Toc15747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六、参选人资格</w:t>
      </w:r>
      <w:r>
        <w:tab/>
      </w:r>
      <w:r>
        <w:fldChar w:fldCharType="begin"/>
      </w:r>
      <w:r>
        <w:instrText xml:space="preserve"> PAGEREF _Toc15747 \h </w:instrText>
      </w:r>
      <w:r>
        <w:fldChar w:fldCharType="separate"/>
      </w:r>
      <w:r>
        <w:t>- 6 -</w:t>
      </w:r>
      <w:r>
        <w:fldChar w:fldCharType="end"/>
      </w:r>
      <w:r>
        <w:rPr>
          <w:rFonts w:hint="eastAsia" w:ascii="Times New Roman" w:hAnsi="Times New Roman" w:eastAsia="仿宋" w:cs="仿宋"/>
          <w:bCs/>
          <w:szCs w:val="21"/>
          <w:lang w:val="zh-CN"/>
        </w:rPr>
        <w:fldChar w:fldCharType="end"/>
      </w:r>
    </w:p>
    <w:p w14:paraId="7A3E7898">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_Toc3023 </w:instrText>
      </w:r>
      <w:r>
        <w:rPr>
          <w:rFonts w:hint="eastAsia" w:ascii="Times New Roman" w:hAnsi="Times New Roman" w:eastAsia="仿宋" w:cs="仿宋"/>
          <w:bCs/>
          <w:szCs w:val="21"/>
          <w:lang w:val="zh-CN"/>
        </w:rPr>
        <w:fldChar w:fldCharType="separate"/>
      </w:r>
      <w:r>
        <w:rPr>
          <w:rFonts w:hint="eastAsia" w:ascii="Times New Roman" w:hAnsi="Times New Roman" w:eastAsia="仿宋"/>
          <w:lang w:val="en-US" w:eastAsia="zh-CN"/>
        </w:rPr>
        <w:t>七</w:t>
      </w:r>
      <w:r>
        <w:rPr>
          <w:rFonts w:hint="eastAsia" w:ascii="Times New Roman" w:hAnsi="Times New Roman" w:eastAsia="仿宋"/>
        </w:rPr>
        <w:t>、参选文件的递交</w:t>
      </w:r>
      <w:r>
        <w:tab/>
      </w:r>
      <w:r>
        <w:fldChar w:fldCharType="begin"/>
      </w:r>
      <w:r>
        <w:instrText xml:space="preserve"> PAGEREF _Toc3023 \h </w:instrText>
      </w:r>
      <w:r>
        <w:fldChar w:fldCharType="separate"/>
      </w:r>
      <w:r>
        <w:t>- 6 -</w:t>
      </w:r>
      <w:r>
        <w:fldChar w:fldCharType="end"/>
      </w:r>
      <w:r>
        <w:rPr>
          <w:rFonts w:hint="eastAsia" w:ascii="Times New Roman" w:hAnsi="Times New Roman" w:eastAsia="仿宋" w:cs="仿宋"/>
          <w:bCs/>
          <w:szCs w:val="21"/>
          <w:lang w:val="zh-CN"/>
        </w:rPr>
        <w:fldChar w:fldCharType="end"/>
      </w:r>
    </w:p>
    <w:p w14:paraId="4C8DD4EC">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_Toc14351 </w:instrText>
      </w:r>
      <w:r>
        <w:rPr>
          <w:rFonts w:hint="eastAsia" w:ascii="Times New Roman" w:hAnsi="Times New Roman" w:eastAsia="仿宋" w:cs="仿宋"/>
          <w:bCs/>
          <w:szCs w:val="21"/>
          <w:lang w:val="zh-CN"/>
        </w:rPr>
        <w:fldChar w:fldCharType="separate"/>
      </w:r>
      <w:r>
        <w:rPr>
          <w:rFonts w:eastAsia="仿宋" w:cs="宋体"/>
          <w:caps w:val="0"/>
          <w:szCs w:val="44"/>
          <w:lang w:eastAsia="zh-CN"/>
        </w:rPr>
        <w:t>第</w:t>
      </w:r>
      <w:r>
        <w:rPr>
          <w:rFonts w:hint="eastAsia" w:eastAsia="仿宋" w:cs="宋体"/>
          <w:caps w:val="0"/>
          <w:szCs w:val="44"/>
          <w:lang w:eastAsia="zh-CN"/>
        </w:rPr>
        <w:t>三</w:t>
      </w:r>
      <w:r>
        <w:rPr>
          <w:rFonts w:eastAsia="仿宋" w:cs="宋体"/>
          <w:caps w:val="0"/>
          <w:szCs w:val="44"/>
          <w:lang w:eastAsia="zh-CN"/>
        </w:rPr>
        <w:t xml:space="preserve">章 </w:t>
      </w:r>
      <w:r>
        <w:rPr>
          <w:rFonts w:hint="eastAsia" w:eastAsia="仿宋" w:cs="宋体"/>
          <w:caps w:val="0"/>
          <w:szCs w:val="44"/>
          <w:lang w:eastAsia="zh-CN"/>
        </w:rPr>
        <w:t>项目概况</w:t>
      </w:r>
      <w:r>
        <w:tab/>
      </w:r>
      <w:r>
        <w:fldChar w:fldCharType="begin"/>
      </w:r>
      <w:r>
        <w:instrText xml:space="preserve"> PAGEREF _Toc14351 \h </w:instrText>
      </w:r>
      <w:r>
        <w:fldChar w:fldCharType="separate"/>
      </w:r>
      <w:r>
        <w:t>- 8 -</w:t>
      </w:r>
      <w:r>
        <w:fldChar w:fldCharType="end"/>
      </w:r>
      <w:r>
        <w:rPr>
          <w:rFonts w:hint="eastAsia" w:ascii="Times New Roman" w:hAnsi="Times New Roman" w:eastAsia="仿宋" w:cs="仿宋"/>
          <w:bCs/>
          <w:szCs w:val="21"/>
          <w:lang w:val="zh-CN"/>
        </w:rPr>
        <w:fldChar w:fldCharType="end"/>
      </w:r>
    </w:p>
    <w:p w14:paraId="5F0CEAF0">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_Toc12823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一、集团简介</w:t>
      </w:r>
      <w:r>
        <w:tab/>
      </w:r>
      <w:r>
        <w:fldChar w:fldCharType="begin"/>
      </w:r>
      <w:r>
        <w:instrText xml:space="preserve"> PAGEREF _Toc12823 \h </w:instrText>
      </w:r>
      <w:r>
        <w:fldChar w:fldCharType="separate"/>
      </w:r>
      <w:r>
        <w:t>- 8 -</w:t>
      </w:r>
      <w:r>
        <w:fldChar w:fldCharType="end"/>
      </w:r>
      <w:r>
        <w:rPr>
          <w:rFonts w:hint="eastAsia" w:ascii="Times New Roman" w:hAnsi="Times New Roman" w:eastAsia="仿宋" w:cs="仿宋"/>
          <w:bCs/>
          <w:szCs w:val="21"/>
          <w:lang w:val="zh-CN"/>
        </w:rPr>
        <w:fldChar w:fldCharType="end"/>
      </w:r>
    </w:p>
    <w:p w14:paraId="1953FF6E">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_Toc15132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二、 项目概况</w:t>
      </w:r>
      <w:r>
        <w:tab/>
      </w:r>
      <w:r>
        <w:fldChar w:fldCharType="begin"/>
      </w:r>
      <w:r>
        <w:instrText xml:space="preserve"> PAGEREF _Toc15132 \h </w:instrText>
      </w:r>
      <w:r>
        <w:fldChar w:fldCharType="separate"/>
      </w:r>
      <w:r>
        <w:t>- 8 -</w:t>
      </w:r>
      <w:r>
        <w:fldChar w:fldCharType="end"/>
      </w:r>
      <w:r>
        <w:rPr>
          <w:rFonts w:hint="eastAsia" w:ascii="Times New Roman" w:hAnsi="Times New Roman" w:eastAsia="仿宋" w:cs="仿宋"/>
          <w:bCs/>
          <w:szCs w:val="21"/>
          <w:lang w:val="zh-CN"/>
        </w:rPr>
        <w:fldChar w:fldCharType="end"/>
      </w:r>
    </w:p>
    <w:p w14:paraId="000A69D6">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_Toc8290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三、 比选内容及要求</w:t>
      </w:r>
      <w:r>
        <w:tab/>
      </w:r>
      <w:r>
        <w:fldChar w:fldCharType="begin"/>
      </w:r>
      <w:r>
        <w:instrText xml:space="preserve"> PAGEREF _Toc8290 \h </w:instrText>
      </w:r>
      <w:r>
        <w:fldChar w:fldCharType="separate"/>
      </w:r>
      <w:r>
        <w:t>- 8 -</w:t>
      </w:r>
      <w:r>
        <w:fldChar w:fldCharType="end"/>
      </w:r>
      <w:r>
        <w:rPr>
          <w:rFonts w:hint="eastAsia" w:ascii="Times New Roman" w:hAnsi="Times New Roman" w:eastAsia="仿宋" w:cs="仿宋"/>
          <w:bCs/>
          <w:szCs w:val="21"/>
          <w:lang w:val="zh-CN"/>
        </w:rPr>
        <w:fldChar w:fldCharType="end"/>
      </w:r>
    </w:p>
    <w:p w14:paraId="3ED61D9F">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_Toc32380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 xml:space="preserve">第四章 </w:t>
      </w:r>
      <w:r>
        <w:rPr>
          <w:rFonts w:hint="eastAsia" w:ascii="Times New Roman" w:hAnsi="Times New Roman" w:eastAsia="仿宋" w:cs="Arial"/>
          <w:bCs/>
          <w:kern w:val="2"/>
          <w:szCs w:val="44"/>
        </w:rPr>
        <w:t>参选文件的编制</w:t>
      </w:r>
      <w:r>
        <w:tab/>
      </w:r>
      <w:r>
        <w:fldChar w:fldCharType="begin"/>
      </w:r>
      <w:r>
        <w:instrText xml:space="preserve"> PAGEREF _Toc32380 \h </w:instrText>
      </w:r>
      <w:r>
        <w:fldChar w:fldCharType="separate"/>
      </w:r>
      <w:r>
        <w:t>- 11 -</w:t>
      </w:r>
      <w:r>
        <w:fldChar w:fldCharType="end"/>
      </w:r>
      <w:r>
        <w:rPr>
          <w:rFonts w:hint="eastAsia" w:ascii="Times New Roman" w:hAnsi="Times New Roman" w:eastAsia="仿宋" w:cs="仿宋"/>
          <w:bCs/>
          <w:szCs w:val="21"/>
          <w:lang w:val="zh-CN"/>
        </w:rPr>
        <w:fldChar w:fldCharType="end"/>
      </w:r>
    </w:p>
    <w:p w14:paraId="27D2558E">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_Toc19868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一、参选文件的组成</w:t>
      </w:r>
      <w:r>
        <w:tab/>
      </w:r>
      <w:r>
        <w:fldChar w:fldCharType="begin"/>
      </w:r>
      <w:r>
        <w:instrText xml:space="preserve"> PAGEREF _Toc19868 \h </w:instrText>
      </w:r>
      <w:r>
        <w:fldChar w:fldCharType="separate"/>
      </w:r>
      <w:r>
        <w:t>- 11 -</w:t>
      </w:r>
      <w:r>
        <w:fldChar w:fldCharType="end"/>
      </w:r>
      <w:r>
        <w:rPr>
          <w:rFonts w:hint="eastAsia" w:ascii="Times New Roman" w:hAnsi="Times New Roman" w:eastAsia="仿宋" w:cs="仿宋"/>
          <w:bCs/>
          <w:szCs w:val="21"/>
          <w:lang w:val="zh-CN"/>
        </w:rPr>
        <w:fldChar w:fldCharType="end"/>
      </w:r>
    </w:p>
    <w:p w14:paraId="6E9F4AE0">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_Toc10849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二、参选书格式</w:t>
      </w:r>
      <w:r>
        <w:tab/>
      </w:r>
      <w:r>
        <w:fldChar w:fldCharType="begin"/>
      </w:r>
      <w:r>
        <w:instrText xml:space="preserve"> PAGEREF _Toc10849 \h </w:instrText>
      </w:r>
      <w:r>
        <w:fldChar w:fldCharType="separate"/>
      </w:r>
      <w:r>
        <w:t>- 11 -</w:t>
      </w:r>
      <w:r>
        <w:fldChar w:fldCharType="end"/>
      </w:r>
      <w:r>
        <w:rPr>
          <w:rFonts w:hint="eastAsia" w:ascii="Times New Roman" w:hAnsi="Times New Roman" w:eastAsia="仿宋" w:cs="仿宋"/>
          <w:bCs/>
          <w:szCs w:val="21"/>
          <w:lang w:val="zh-CN"/>
        </w:rPr>
        <w:fldChar w:fldCharType="end"/>
      </w:r>
    </w:p>
    <w:p w14:paraId="1DE6C4FB">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_Toc25176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三、参选文件的式样、密封和签署</w:t>
      </w:r>
      <w:r>
        <w:tab/>
      </w:r>
      <w:r>
        <w:fldChar w:fldCharType="begin"/>
      </w:r>
      <w:r>
        <w:instrText xml:space="preserve"> PAGEREF _Toc25176 \h </w:instrText>
      </w:r>
      <w:r>
        <w:fldChar w:fldCharType="separate"/>
      </w:r>
      <w:r>
        <w:t>- 11 -</w:t>
      </w:r>
      <w:r>
        <w:fldChar w:fldCharType="end"/>
      </w:r>
      <w:r>
        <w:rPr>
          <w:rFonts w:hint="eastAsia" w:ascii="Times New Roman" w:hAnsi="Times New Roman" w:eastAsia="仿宋" w:cs="仿宋"/>
          <w:bCs/>
          <w:szCs w:val="21"/>
          <w:lang w:val="zh-CN"/>
        </w:rPr>
        <w:fldChar w:fldCharType="end"/>
      </w:r>
    </w:p>
    <w:p w14:paraId="4019598A">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_Toc2450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四、参选报价</w:t>
      </w:r>
      <w:r>
        <w:tab/>
      </w:r>
      <w:r>
        <w:fldChar w:fldCharType="begin"/>
      </w:r>
      <w:r>
        <w:instrText xml:space="preserve"> PAGEREF _Toc2450 \h </w:instrText>
      </w:r>
      <w:r>
        <w:fldChar w:fldCharType="separate"/>
      </w:r>
      <w:r>
        <w:t>- 12 -</w:t>
      </w:r>
      <w:r>
        <w:fldChar w:fldCharType="end"/>
      </w:r>
      <w:r>
        <w:rPr>
          <w:rFonts w:hint="eastAsia" w:ascii="Times New Roman" w:hAnsi="Times New Roman" w:eastAsia="仿宋" w:cs="仿宋"/>
          <w:bCs/>
          <w:szCs w:val="21"/>
          <w:lang w:val="zh-CN"/>
        </w:rPr>
        <w:fldChar w:fldCharType="end"/>
      </w:r>
    </w:p>
    <w:p w14:paraId="23A519A7">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_Toc14518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五、特别说明</w:t>
      </w:r>
      <w:r>
        <w:tab/>
      </w:r>
      <w:r>
        <w:fldChar w:fldCharType="begin"/>
      </w:r>
      <w:r>
        <w:instrText xml:space="preserve"> PAGEREF _Toc14518 \h </w:instrText>
      </w:r>
      <w:r>
        <w:fldChar w:fldCharType="separate"/>
      </w:r>
      <w:r>
        <w:t>- 12 -</w:t>
      </w:r>
      <w:r>
        <w:fldChar w:fldCharType="end"/>
      </w:r>
      <w:r>
        <w:rPr>
          <w:rFonts w:hint="eastAsia" w:ascii="Times New Roman" w:hAnsi="Times New Roman" w:eastAsia="仿宋" w:cs="仿宋"/>
          <w:bCs/>
          <w:szCs w:val="21"/>
          <w:lang w:val="zh-CN"/>
        </w:rPr>
        <w:fldChar w:fldCharType="end"/>
      </w:r>
    </w:p>
    <w:p w14:paraId="770BFC88">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_Toc17983 </w:instrText>
      </w:r>
      <w:r>
        <w:rPr>
          <w:rFonts w:hint="eastAsia" w:ascii="Times New Roman" w:hAnsi="Times New Roman" w:eastAsia="仿宋" w:cs="仿宋"/>
          <w:bCs/>
          <w:szCs w:val="21"/>
          <w:lang w:val="zh-CN"/>
        </w:rPr>
        <w:fldChar w:fldCharType="separate"/>
      </w:r>
      <w:r>
        <w:rPr>
          <w:rFonts w:hint="eastAsia" w:ascii="Times New Roman" w:hAnsi="Times New Roman" w:eastAsia="仿宋" w:cs="Arial"/>
          <w:bCs/>
          <w:kern w:val="2"/>
          <w:szCs w:val="44"/>
        </w:rPr>
        <w:t>第五章 评比规则</w:t>
      </w:r>
      <w:r>
        <w:tab/>
      </w:r>
      <w:r>
        <w:fldChar w:fldCharType="begin"/>
      </w:r>
      <w:r>
        <w:instrText xml:space="preserve"> PAGEREF _Toc17983 \h </w:instrText>
      </w:r>
      <w:r>
        <w:fldChar w:fldCharType="separate"/>
      </w:r>
      <w:r>
        <w:t>- 13 -</w:t>
      </w:r>
      <w:r>
        <w:fldChar w:fldCharType="end"/>
      </w:r>
      <w:r>
        <w:rPr>
          <w:rFonts w:hint="eastAsia" w:ascii="Times New Roman" w:hAnsi="Times New Roman" w:eastAsia="仿宋" w:cs="仿宋"/>
          <w:bCs/>
          <w:szCs w:val="21"/>
          <w:lang w:val="zh-CN"/>
        </w:rPr>
        <w:fldChar w:fldCharType="end"/>
      </w:r>
    </w:p>
    <w:p w14:paraId="4BB597DF">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_Toc28788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一、规则</w:t>
      </w:r>
      <w:r>
        <w:tab/>
      </w:r>
      <w:r>
        <w:fldChar w:fldCharType="begin"/>
      </w:r>
      <w:r>
        <w:instrText xml:space="preserve"> PAGEREF _Toc28788 \h </w:instrText>
      </w:r>
      <w:r>
        <w:fldChar w:fldCharType="separate"/>
      </w:r>
      <w:r>
        <w:t>- 13 -</w:t>
      </w:r>
      <w:r>
        <w:fldChar w:fldCharType="end"/>
      </w:r>
      <w:r>
        <w:rPr>
          <w:rFonts w:hint="eastAsia" w:ascii="Times New Roman" w:hAnsi="Times New Roman" w:eastAsia="仿宋" w:cs="仿宋"/>
          <w:bCs/>
          <w:szCs w:val="21"/>
          <w:lang w:val="zh-CN"/>
        </w:rPr>
        <w:fldChar w:fldCharType="end"/>
      </w:r>
    </w:p>
    <w:p w14:paraId="6928FD65">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_Toc20052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二、资格审查</w:t>
      </w:r>
      <w:r>
        <w:tab/>
      </w:r>
      <w:r>
        <w:fldChar w:fldCharType="begin"/>
      </w:r>
      <w:r>
        <w:instrText xml:space="preserve"> PAGEREF _Toc20052 \h </w:instrText>
      </w:r>
      <w:r>
        <w:fldChar w:fldCharType="separate"/>
      </w:r>
      <w:r>
        <w:t>- 13 -</w:t>
      </w:r>
      <w:r>
        <w:fldChar w:fldCharType="end"/>
      </w:r>
      <w:r>
        <w:rPr>
          <w:rFonts w:hint="eastAsia" w:ascii="Times New Roman" w:hAnsi="Times New Roman" w:eastAsia="仿宋" w:cs="仿宋"/>
          <w:bCs/>
          <w:szCs w:val="21"/>
          <w:lang w:val="zh-CN"/>
        </w:rPr>
        <w:fldChar w:fldCharType="end"/>
      </w:r>
    </w:p>
    <w:p w14:paraId="2697DA7B">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_Toc24682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三、比选办法</w:t>
      </w:r>
      <w:r>
        <w:tab/>
      </w:r>
      <w:r>
        <w:fldChar w:fldCharType="begin"/>
      </w:r>
      <w:r>
        <w:instrText xml:space="preserve"> PAGEREF _Toc24682 \h </w:instrText>
      </w:r>
      <w:r>
        <w:fldChar w:fldCharType="separate"/>
      </w:r>
      <w:r>
        <w:t>- 13 -</w:t>
      </w:r>
      <w:r>
        <w:fldChar w:fldCharType="end"/>
      </w:r>
      <w:r>
        <w:rPr>
          <w:rFonts w:hint="eastAsia" w:ascii="Times New Roman" w:hAnsi="Times New Roman" w:eastAsia="仿宋" w:cs="仿宋"/>
          <w:bCs/>
          <w:szCs w:val="21"/>
          <w:lang w:val="zh-CN"/>
        </w:rPr>
        <w:fldChar w:fldCharType="end"/>
      </w:r>
    </w:p>
    <w:p w14:paraId="0DD2E931">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_Toc9082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四、以下情况作废选处理</w:t>
      </w:r>
      <w:r>
        <w:tab/>
      </w:r>
      <w:r>
        <w:fldChar w:fldCharType="begin"/>
      </w:r>
      <w:r>
        <w:instrText xml:space="preserve"> PAGEREF _Toc9082 \h </w:instrText>
      </w:r>
      <w:r>
        <w:fldChar w:fldCharType="separate"/>
      </w:r>
      <w:r>
        <w:t>- 15 -</w:t>
      </w:r>
      <w:r>
        <w:fldChar w:fldCharType="end"/>
      </w:r>
      <w:r>
        <w:rPr>
          <w:rFonts w:hint="eastAsia" w:ascii="Times New Roman" w:hAnsi="Times New Roman" w:eastAsia="仿宋" w:cs="仿宋"/>
          <w:bCs/>
          <w:szCs w:val="21"/>
          <w:lang w:val="zh-CN"/>
        </w:rPr>
        <w:fldChar w:fldCharType="end"/>
      </w:r>
    </w:p>
    <w:p w14:paraId="1EFE1879">
      <w:pPr>
        <w:pStyle w:val="13"/>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_Toc14595 </w:instrText>
      </w:r>
      <w:r>
        <w:rPr>
          <w:rFonts w:hint="eastAsia" w:ascii="Times New Roman" w:hAnsi="Times New Roman" w:eastAsia="仿宋" w:cs="仿宋"/>
          <w:bCs/>
          <w:szCs w:val="21"/>
          <w:lang w:val="zh-CN"/>
        </w:rPr>
        <w:fldChar w:fldCharType="separate"/>
      </w:r>
      <w:r>
        <w:rPr>
          <w:rFonts w:hint="eastAsia" w:ascii="Times New Roman" w:hAnsi="Times New Roman" w:eastAsia="仿宋"/>
        </w:rPr>
        <w:t>五、评选</w:t>
      </w:r>
      <w:r>
        <w:tab/>
      </w:r>
      <w:r>
        <w:fldChar w:fldCharType="begin"/>
      </w:r>
      <w:r>
        <w:instrText xml:space="preserve"> PAGEREF _Toc14595 \h </w:instrText>
      </w:r>
      <w:r>
        <w:fldChar w:fldCharType="separate"/>
      </w:r>
      <w:r>
        <w:t>- 16 -</w:t>
      </w:r>
      <w:r>
        <w:fldChar w:fldCharType="end"/>
      </w:r>
      <w:r>
        <w:rPr>
          <w:rFonts w:hint="eastAsia" w:ascii="Times New Roman" w:hAnsi="Times New Roman" w:eastAsia="仿宋" w:cs="仿宋"/>
          <w:bCs/>
          <w:szCs w:val="21"/>
          <w:lang w:val="zh-CN"/>
        </w:rPr>
        <w:fldChar w:fldCharType="end"/>
      </w:r>
    </w:p>
    <w:p w14:paraId="4AC5887C">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_Toc15410 </w:instrText>
      </w:r>
      <w:r>
        <w:rPr>
          <w:rFonts w:hint="eastAsia" w:ascii="Times New Roman" w:hAnsi="Times New Roman" w:eastAsia="仿宋" w:cs="仿宋"/>
          <w:bCs/>
          <w:szCs w:val="21"/>
          <w:lang w:val="zh-CN"/>
        </w:rPr>
        <w:fldChar w:fldCharType="separate"/>
      </w:r>
      <w:r>
        <w:rPr>
          <w:rFonts w:hint="eastAsia" w:ascii="Times New Roman" w:hAnsi="Times New Roman" w:eastAsia="仿宋" w:cs="Arial"/>
          <w:bCs/>
          <w:kern w:val="2"/>
          <w:szCs w:val="44"/>
        </w:rPr>
        <w:t>第六章 合同授予</w:t>
      </w:r>
      <w:r>
        <w:tab/>
      </w:r>
      <w:r>
        <w:fldChar w:fldCharType="begin"/>
      </w:r>
      <w:r>
        <w:instrText xml:space="preserve"> PAGEREF _Toc15410 \h </w:instrText>
      </w:r>
      <w:r>
        <w:fldChar w:fldCharType="separate"/>
      </w:r>
      <w:r>
        <w:t>- 17 -</w:t>
      </w:r>
      <w:r>
        <w:fldChar w:fldCharType="end"/>
      </w:r>
      <w:r>
        <w:rPr>
          <w:rFonts w:hint="eastAsia" w:ascii="Times New Roman" w:hAnsi="Times New Roman" w:eastAsia="仿宋" w:cs="仿宋"/>
          <w:bCs/>
          <w:szCs w:val="21"/>
          <w:lang w:val="zh-CN"/>
        </w:rPr>
        <w:fldChar w:fldCharType="end"/>
      </w:r>
    </w:p>
    <w:p w14:paraId="53BD8658">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_Toc1909 </w:instrText>
      </w:r>
      <w:r>
        <w:rPr>
          <w:rFonts w:hint="eastAsia" w:ascii="Times New Roman" w:hAnsi="Times New Roman" w:eastAsia="仿宋" w:cs="仿宋"/>
          <w:bCs/>
          <w:szCs w:val="21"/>
          <w:lang w:val="zh-CN"/>
        </w:rPr>
        <w:fldChar w:fldCharType="separate"/>
      </w:r>
      <w:r>
        <w:rPr>
          <w:rFonts w:hint="eastAsia" w:ascii="Times New Roman" w:hAnsi="Times New Roman" w:eastAsia="仿宋" w:cs="Arial"/>
          <w:bCs/>
          <w:kern w:val="2"/>
          <w:szCs w:val="44"/>
        </w:rPr>
        <w:t>第七章 中选后相关履约要求</w:t>
      </w:r>
      <w:r>
        <w:tab/>
      </w:r>
      <w:r>
        <w:fldChar w:fldCharType="begin"/>
      </w:r>
      <w:r>
        <w:instrText xml:space="preserve"> PAGEREF _Toc1909 \h </w:instrText>
      </w:r>
      <w:r>
        <w:fldChar w:fldCharType="separate"/>
      </w:r>
      <w:r>
        <w:t>- 18 -</w:t>
      </w:r>
      <w:r>
        <w:fldChar w:fldCharType="end"/>
      </w:r>
      <w:r>
        <w:rPr>
          <w:rFonts w:hint="eastAsia" w:ascii="Times New Roman" w:hAnsi="Times New Roman" w:eastAsia="仿宋" w:cs="仿宋"/>
          <w:bCs/>
          <w:szCs w:val="21"/>
          <w:lang w:val="zh-CN"/>
        </w:rPr>
        <w:fldChar w:fldCharType="end"/>
      </w:r>
    </w:p>
    <w:p w14:paraId="708E5757">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_Toc1705 </w:instrText>
      </w:r>
      <w:r>
        <w:rPr>
          <w:rFonts w:hint="eastAsia" w:ascii="Times New Roman" w:hAnsi="Times New Roman" w:eastAsia="仿宋" w:cs="仿宋"/>
          <w:bCs/>
          <w:szCs w:val="21"/>
          <w:lang w:val="zh-CN"/>
        </w:rPr>
        <w:fldChar w:fldCharType="separate"/>
      </w:r>
      <w:r>
        <w:rPr>
          <w:rFonts w:hint="eastAsia" w:ascii="Times New Roman" w:hAnsi="Times New Roman" w:eastAsia="仿宋" w:cs="Arial"/>
          <w:bCs/>
          <w:kern w:val="2"/>
          <w:szCs w:val="44"/>
        </w:rPr>
        <w:t>第八章 其它</w:t>
      </w:r>
      <w:r>
        <w:tab/>
      </w:r>
      <w:r>
        <w:fldChar w:fldCharType="begin"/>
      </w:r>
      <w:r>
        <w:instrText xml:space="preserve"> PAGEREF _Toc1705 \h </w:instrText>
      </w:r>
      <w:r>
        <w:fldChar w:fldCharType="separate"/>
      </w:r>
      <w:r>
        <w:t>- 19 -</w:t>
      </w:r>
      <w:r>
        <w:fldChar w:fldCharType="end"/>
      </w:r>
      <w:r>
        <w:rPr>
          <w:rFonts w:hint="eastAsia" w:ascii="Times New Roman" w:hAnsi="Times New Roman" w:eastAsia="仿宋" w:cs="仿宋"/>
          <w:bCs/>
          <w:szCs w:val="21"/>
          <w:lang w:val="zh-CN"/>
        </w:rPr>
        <w:fldChar w:fldCharType="end"/>
      </w:r>
    </w:p>
    <w:p w14:paraId="37644F67">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_Toc1991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附件一  合同范本</w:t>
      </w:r>
      <w:r>
        <w:tab/>
      </w:r>
      <w:r>
        <w:fldChar w:fldCharType="begin"/>
      </w:r>
      <w:r>
        <w:instrText xml:space="preserve"> PAGEREF _Toc1991 \h </w:instrText>
      </w:r>
      <w:r>
        <w:fldChar w:fldCharType="separate"/>
      </w:r>
      <w:r>
        <w:t>- 20 -</w:t>
      </w:r>
      <w:r>
        <w:fldChar w:fldCharType="end"/>
      </w:r>
      <w:r>
        <w:rPr>
          <w:rFonts w:hint="eastAsia" w:ascii="Times New Roman" w:hAnsi="Times New Roman" w:eastAsia="仿宋" w:cs="仿宋"/>
          <w:bCs/>
          <w:szCs w:val="21"/>
          <w:lang w:val="zh-CN"/>
        </w:rPr>
        <w:fldChar w:fldCharType="end"/>
      </w:r>
    </w:p>
    <w:p w14:paraId="612DE346">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_Toc25391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 xml:space="preserve">附件二 </w:t>
      </w:r>
      <w:r>
        <w:rPr>
          <w:rFonts w:ascii="Times New Roman" w:hAnsi="Times New Roman" w:eastAsia="仿宋"/>
          <w:szCs w:val="44"/>
        </w:rPr>
        <w:t xml:space="preserve"> </w:t>
      </w:r>
      <w:r>
        <w:rPr>
          <w:rFonts w:hint="eastAsia" w:ascii="Times New Roman" w:hAnsi="Times New Roman" w:eastAsia="仿宋"/>
          <w:szCs w:val="44"/>
        </w:rPr>
        <w:t>参选文件格式</w:t>
      </w:r>
      <w:r>
        <w:tab/>
      </w:r>
      <w:r>
        <w:fldChar w:fldCharType="begin"/>
      </w:r>
      <w:r>
        <w:instrText xml:space="preserve"> PAGEREF _Toc25391 \h </w:instrText>
      </w:r>
      <w:r>
        <w:fldChar w:fldCharType="separate"/>
      </w:r>
      <w:r>
        <w:t>- 28 -</w:t>
      </w:r>
      <w:r>
        <w:fldChar w:fldCharType="end"/>
      </w:r>
      <w:r>
        <w:rPr>
          <w:rFonts w:hint="eastAsia" w:ascii="Times New Roman" w:hAnsi="Times New Roman" w:eastAsia="仿宋" w:cs="仿宋"/>
          <w:bCs/>
          <w:szCs w:val="21"/>
          <w:lang w:val="zh-CN"/>
        </w:rPr>
        <w:fldChar w:fldCharType="end"/>
      </w:r>
    </w:p>
    <w:p w14:paraId="4C1B7175">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_Toc25567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 xml:space="preserve">附件三 </w:t>
      </w:r>
      <w:r>
        <w:rPr>
          <w:rFonts w:ascii="Times New Roman" w:hAnsi="Times New Roman" w:eastAsia="仿宋"/>
          <w:szCs w:val="44"/>
        </w:rPr>
        <w:t xml:space="preserve"> </w:t>
      </w:r>
      <w:r>
        <w:rPr>
          <w:rFonts w:hint="eastAsia" w:ascii="Times New Roman" w:hAnsi="Times New Roman" w:eastAsia="仿宋"/>
          <w:szCs w:val="44"/>
        </w:rPr>
        <w:t>参选报价单</w:t>
      </w:r>
      <w:r>
        <w:tab/>
      </w:r>
      <w:r>
        <w:fldChar w:fldCharType="begin"/>
      </w:r>
      <w:r>
        <w:instrText xml:space="preserve"> PAGEREF _Toc25567 \h </w:instrText>
      </w:r>
      <w:r>
        <w:fldChar w:fldCharType="separate"/>
      </w:r>
      <w:r>
        <w:t>- 29 -</w:t>
      </w:r>
      <w:r>
        <w:fldChar w:fldCharType="end"/>
      </w:r>
      <w:r>
        <w:rPr>
          <w:rFonts w:hint="eastAsia" w:ascii="Times New Roman" w:hAnsi="Times New Roman" w:eastAsia="仿宋" w:cs="仿宋"/>
          <w:bCs/>
          <w:szCs w:val="21"/>
          <w:lang w:val="zh-CN"/>
        </w:rPr>
        <w:fldChar w:fldCharType="end"/>
      </w:r>
    </w:p>
    <w:p w14:paraId="754C0B6E">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_Toc12340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 xml:space="preserve">附件四 </w:t>
      </w:r>
      <w:r>
        <w:rPr>
          <w:rFonts w:ascii="Times New Roman" w:hAnsi="Times New Roman" w:eastAsia="仿宋"/>
          <w:szCs w:val="44"/>
        </w:rPr>
        <w:t xml:space="preserve"> </w:t>
      </w:r>
      <w:r>
        <w:rPr>
          <w:rFonts w:hint="eastAsia" w:ascii="Times New Roman" w:hAnsi="Times New Roman" w:eastAsia="仿宋"/>
          <w:szCs w:val="44"/>
        </w:rPr>
        <w:t>法定代表人授权委托书</w:t>
      </w:r>
      <w:r>
        <w:tab/>
      </w:r>
      <w:r>
        <w:fldChar w:fldCharType="begin"/>
      </w:r>
      <w:r>
        <w:instrText xml:space="preserve"> PAGEREF _Toc12340 \h </w:instrText>
      </w:r>
      <w:r>
        <w:fldChar w:fldCharType="separate"/>
      </w:r>
      <w:r>
        <w:t>- 30 -</w:t>
      </w:r>
      <w:r>
        <w:fldChar w:fldCharType="end"/>
      </w:r>
      <w:r>
        <w:rPr>
          <w:rFonts w:hint="eastAsia" w:ascii="Times New Roman" w:hAnsi="Times New Roman" w:eastAsia="仿宋" w:cs="仿宋"/>
          <w:bCs/>
          <w:szCs w:val="21"/>
          <w:lang w:val="zh-CN"/>
        </w:rPr>
        <w:fldChar w:fldCharType="end"/>
      </w:r>
    </w:p>
    <w:p w14:paraId="7CE44057">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_Toc17731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附件五  承诺函</w:t>
      </w:r>
      <w:r>
        <w:tab/>
      </w:r>
      <w:r>
        <w:fldChar w:fldCharType="begin"/>
      </w:r>
      <w:r>
        <w:instrText xml:space="preserve"> PAGEREF _Toc17731 \h </w:instrText>
      </w:r>
      <w:r>
        <w:fldChar w:fldCharType="separate"/>
      </w:r>
      <w:r>
        <w:t>- 31 -</w:t>
      </w:r>
      <w:r>
        <w:fldChar w:fldCharType="end"/>
      </w:r>
      <w:r>
        <w:rPr>
          <w:rFonts w:hint="eastAsia" w:ascii="Times New Roman" w:hAnsi="Times New Roman" w:eastAsia="仿宋" w:cs="仿宋"/>
          <w:bCs/>
          <w:szCs w:val="21"/>
          <w:lang w:val="zh-CN"/>
        </w:rPr>
        <w:fldChar w:fldCharType="end"/>
      </w:r>
    </w:p>
    <w:p w14:paraId="4B59DFA6">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_Toc15059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 xml:space="preserve">附件六 </w:t>
      </w:r>
      <w:r>
        <w:rPr>
          <w:rFonts w:ascii="Times New Roman" w:hAnsi="Times New Roman" w:eastAsia="仿宋"/>
          <w:szCs w:val="44"/>
        </w:rPr>
        <w:t xml:space="preserve"> 参选函</w:t>
      </w:r>
      <w:r>
        <w:tab/>
      </w:r>
      <w:r>
        <w:fldChar w:fldCharType="begin"/>
      </w:r>
      <w:r>
        <w:instrText xml:space="preserve"> PAGEREF _Toc15059 \h </w:instrText>
      </w:r>
      <w:r>
        <w:fldChar w:fldCharType="separate"/>
      </w:r>
      <w:r>
        <w:t>- 32 -</w:t>
      </w:r>
      <w:r>
        <w:fldChar w:fldCharType="end"/>
      </w:r>
      <w:r>
        <w:rPr>
          <w:rFonts w:hint="eastAsia" w:ascii="Times New Roman" w:hAnsi="Times New Roman" w:eastAsia="仿宋" w:cs="仿宋"/>
          <w:bCs/>
          <w:szCs w:val="21"/>
          <w:lang w:val="zh-CN"/>
        </w:rPr>
        <w:fldChar w:fldCharType="end"/>
      </w:r>
    </w:p>
    <w:p w14:paraId="20D9241C">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_Toc12631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 xml:space="preserve">附件七 </w:t>
      </w:r>
      <w:r>
        <w:rPr>
          <w:rFonts w:ascii="Times New Roman" w:hAnsi="Times New Roman" w:eastAsia="仿宋"/>
          <w:szCs w:val="44"/>
        </w:rPr>
        <w:t xml:space="preserve"> </w:t>
      </w:r>
      <w:r>
        <w:rPr>
          <w:rFonts w:hint="eastAsia" w:ascii="Times New Roman" w:hAnsi="Times New Roman" w:eastAsia="仿宋"/>
          <w:szCs w:val="44"/>
        </w:rPr>
        <w:t>资格证明文件</w:t>
      </w:r>
      <w:r>
        <w:tab/>
      </w:r>
      <w:r>
        <w:fldChar w:fldCharType="begin"/>
      </w:r>
      <w:r>
        <w:instrText xml:space="preserve"> PAGEREF _Toc12631 \h </w:instrText>
      </w:r>
      <w:r>
        <w:fldChar w:fldCharType="separate"/>
      </w:r>
      <w:r>
        <w:t>- 33 -</w:t>
      </w:r>
      <w:r>
        <w:fldChar w:fldCharType="end"/>
      </w:r>
      <w:r>
        <w:rPr>
          <w:rFonts w:hint="eastAsia" w:ascii="Times New Roman" w:hAnsi="Times New Roman" w:eastAsia="仿宋" w:cs="仿宋"/>
          <w:bCs/>
          <w:szCs w:val="21"/>
          <w:lang w:val="zh-CN"/>
        </w:rPr>
        <w:fldChar w:fldCharType="end"/>
      </w:r>
    </w:p>
    <w:p w14:paraId="2C57D27A">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_Toc10207 </w:instrText>
      </w:r>
      <w:r>
        <w:rPr>
          <w:rFonts w:hint="eastAsia" w:ascii="Times New Roman" w:hAnsi="Times New Roman" w:eastAsia="仿宋" w:cs="仿宋"/>
          <w:bCs/>
          <w:szCs w:val="21"/>
          <w:lang w:val="zh-CN"/>
        </w:rPr>
        <w:fldChar w:fldCharType="separate"/>
      </w:r>
      <w:r>
        <w:rPr>
          <w:rFonts w:hint="eastAsia" w:ascii="Times New Roman" w:hAnsi="Times New Roman" w:eastAsia="仿宋" w:cs="Arial"/>
          <w:bCs/>
          <w:kern w:val="2"/>
          <w:szCs w:val="44"/>
        </w:rPr>
        <w:t>附件八  技术方案</w:t>
      </w:r>
      <w:r>
        <w:tab/>
      </w:r>
      <w:r>
        <w:fldChar w:fldCharType="begin"/>
      </w:r>
      <w:r>
        <w:instrText xml:space="preserve"> PAGEREF _Toc10207 \h </w:instrText>
      </w:r>
      <w:r>
        <w:fldChar w:fldCharType="separate"/>
      </w:r>
      <w:r>
        <w:t>- 38 -</w:t>
      </w:r>
      <w:r>
        <w:fldChar w:fldCharType="end"/>
      </w:r>
      <w:r>
        <w:rPr>
          <w:rFonts w:hint="eastAsia" w:ascii="Times New Roman" w:hAnsi="Times New Roman" w:eastAsia="仿宋" w:cs="仿宋"/>
          <w:bCs/>
          <w:szCs w:val="21"/>
          <w:lang w:val="zh-CN"/>
        </w:rPr>
        <w:fldChar w:fldCharType="end"/>
      </w:r>
    </w:p>
    <w:p w14:paraId="3B43C937">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_Toc22270 </w:instrText>
      </w:r>
      <w:r>
        <w:rPr>
          <w:rFonts w:hint="eastAsia" w:ascii="Times New Roman" w:hAnsi="Times New Roman" w:eastAsia="仿宋" w:cs="仿宋"/>
          <w:bCs/>
          <w:szCs w:val="21"/>
          <w:lang w:val="zh-CN"/>
        </w:rPr>
        <w:fldChar w:fldCharType="separate"/>
      </w:r>
      <w:r>
        <w:rPr>
          <w:rFonts w:hint="eastAsia" w:ascii="Times New Roman" w:hAnsi="Times New Roman" w:eastAsia="仿宋"/>
          <w:szCs w:val="44"/>
        </w:rPr>
        <w:t xml:space="preserve">附件九 </w:t>
      </w:r>
      <w:r>
        <w:rPr>
          <w:rFonts w:ascii="Times New Roman" w:hAnsi="Times New Roman" w:eastAsia="仿宋"/>
          <w:szCs w:val="44"/>
        </w:rPr>
        <w:t xml:space="preserve"> </w:t>
      </w:r>
      <w:r>
        <w:rPr>
          <w:rFonts w:hint="eastAsia" w:ascii="Times New Roman" w:hAnsi="Times New Roman" w:eastAsia="仿宋"/>
          <w:szCs w:val="44"/>
        </w:rPr>
        <w:t>比选文件要求响应偏离表</w:t>
      </w:r>
      <w:r>
        <w:tab/>
      </w:r>
      <w:r>
        <w:fldChar w:fldCharType="begin"/>
      </w:r>
      <w:r>
        <w:instrText xml:space="preserve"> PAGEREF _Toc22270 \h </w:instrText>
      </w:r>
      <w:r>
        <w:fldChar w:fldCharType="separate"/>
      </w:r>
      <w:r>
        <w:t>- 39 -</w:t>
      </w:r>
      <w:r>
        <w:fldChar w:fldCharType="end"/>
      </w:r>
      <w:r>
        <w:rPr>
          <w:rFonts w:hint="eastAsia" w:ascii="Times New Roman" w:hAnsi="Times New Roman" w:eastAsia="仿宋" w:cs="仿宋"/>
          <w:bCs/>
          <w:szCs w:val="21"/>
          <w:lang w:val="zh-CN"/>
        </w:rPr>
        <w:fldChar w:fldCharType="end"/>
      </w:r>
    </w:p>
    <w:p w14:paraId="5E6859BA">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_Toc28334 </w:instrText>
      </w:r>
      <w:r>
        <w:rPr>
          <w:rFonts w:hint="eastAsia" w:ascii="Times New Roman" w:hAnsi="Times New Roman" w:eastAsia="仿宋" w:cs="仿宋"/>
          <w:bCs/>
          <w:szCs w:val="21"/>
          <w:lang w:val="zh-CN"/>
        </w:rPr>
        <w:fldChar w:fldCharType="separate"/>
      </w:r>
      <w:r>
        <w:rPr>
          <w:rFonts w:hint="eastAsia" w:ascii="Times New Roman" w:hAnsi="Times New Roman" w:eastAsia="仿宋" w:cs="仿宋"/>
          <w:bCs/>
          <w:szCs w:val="44"/>
        </w:rPr>
        <w:t>附件十</w:t>
      </w:r>
      <w:r>
        <w:rPr>
          <w:rFonts w:hint="eastAsia" w:ascii="Times New Roman" w:hAnsi="Times New Roman" w:eastAsia="仿宋" w:cs="仿宋"/>
          <w:bCs/>
          <w:szCs w:val="44"/>
          <w:lang w:val="en-US" w:eastAsia="zh-CN"/>
        </w:rPr>
        <w:t xml:space="preserve"> </w:t>
      </w:r>
      <w:r>
        <w:rPr>
          <w:rFonts w:hint="eastAsia" w:ascii="Times New Roman" w:hAnsi="Times New Roman" w:eastAsia="仿宋" w:cs="仿宋"/>
          <w:bCs/>
          <w:szCs w:val="44"/>
        </w:rPr>
        <w:t>商务评分标准对照情况点对点应答表</w:t>
      </w:r>
      <w:r>
        <w:tab/>
      </w:r>
      <w:r>
        <w:fldChar w:fldCharType="begin"/>
      </w:r>
      <w:r>
        <w:instrText xml:space="preserve"> PAGEREF _Toc28334 \h </w:instrText>
      </w:r>
      <w:r>
        <w:fldChar w:fldCharType="separate"/>
      </w:r>
      <w:r>
        <w:t>- 40 -</w:t>
      </w:r>
      <w:r>
        <w:fldChar w:fldCharType="end"/>
      </w:r>
      <w:r>
        <w:rPr>
          <w:rFonts w:hint="eastAsia" w:ascii="Times New Roman" w:hAnsi="Times New Roman" w:eastAsia="仿宋" w:cs="仿宋"/>
          <w:bCs/>
          <w:szCs w:val="21"/>
          <w:lang w:val="zh-CN"/>
        </w:rPr>
        <w:fldChar w:fldCharType="end"/>
      </w:r>
    </w:p>
    <w:p w14:paraId="76A01348">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_Toc24801 </w:instrText>
      </w:r>
      <w:r>
        <w:rPr>
          <w:rFonts w:hint="eastAsia" w:ascii="Times New Roman" w:hAnsi="Times New Roman" w:eastAsia="仿宋" w:cs="仿宋"/>
          <w:bCs/>
          <w:szCs w:val="21"/>
          <w:lang w:val="zh-CN"/>
        </w:rPr>
        <w:fldChar w:fldCharType="separate"/>
      </w:r>
      <w:r>
        <w:rPr>
          <w:rFonts w:hint="eastAsia" w:ascii="Times New Roman" w:hAnsi="Times New Roman" w:eastAsia="仿宋" w:cs="仿宋"/>
          <w:bCs/>
          <w:szCs w:val="44"/>
        </w:rPr>
        <w:t>附件十一</w:t>
      </w:r>
      <w:r>
        <w:rPr>
          <w:rFonts w:hint="eastAsia" w:ascii="Times New Roman" w:hAnsi="Times New Roman" w:eastAsia="仿宋" w:cs="仿宋"/>
          <w:bCs/>
          <w:szCs w:val="44"/>
          <w:lang w:val="en-US" w:eastAsia="zh-CN"/>
        </w:rPr>
        <w:t xml:space="preserve"> </w:t>
      </w:r>
      <w:r>
        <w:rPr>
          <w:rFonts w:hint="eastAsia" w:ascii="Times New Roman" w:hAnsi="Times New Roman" w:eastAsia="仿宋" w:cs="仿宋"/>
          <w:bCs/>
          <w:szCs w:val="44"/>
        </w:rPr>
        <w:t>技术评分标准对照情况点对点应答表</w:t>
      </w:r>
      <w:r>
        <w:tab/>
      </w:r>
      <w:r>
        <w:fldChar w:fldCharType="begin"/>
      </w:r>
      <w:r>
        <w:instrText xml:space="preserve"> PAGEREF _Toc24801 \h </w:instrText>
      </w:r>
      <w:r>
        <w:fldChar w:fldCharType="separate"/>
      </w:r>
      <w:r>
        <w:t>- 41 -</w:t>
      </w:r>
      <w:r>
        <w:fldChar w:fldCharType="end"/>
      </w:r>
      <w:r>
        <w:rPr>
          <w:rFonts w:hint="eastAsia" w:ascii="Times New Roman" w:hAnsi="Times New Roman" w:eastAsia="仿宋" w:cs="仿宋"/>
          <w:bCs/>
          <w:szCs w:val="21"/>
          <w:lang w:val="zh-CN"/>
        </w:rPr>
        <w:fldChar w:fldCharType="end"/>
      </w:r>
    </w:p>
    <w:p w14:paraId="53FC59E2">
      <w:pPr>
        <w:pStyle w:val="12"/>
        <w:tabs>
          <w:tab w:val="right" w:leader="dot" w:pos="9354"/>
        </w:tabs>
      </w:pPr>
      <w:r>
        <w:rPr>
          <w:rFonts w:hint="eastAsia" w:ascii="Times New Roman" w:hAnsi="Times New Roman" w:eastAsia="仿宋" w:cs="仿宋"/>
          <w:bCs/>
          <w:szCs w:val="21"/>
          <w:lang w:val="zh-CN"/>
        </w:rPr>
        <w:fldChar w:fldCharType="begin"/>
      </w:r>
      <w:r>
        <w:rPr>
          <w:rFonts w:hint="eastAsia" w:ascii="Times New Roman" w:hAnsi="Times New Roman" w:eastAsia="仿宋" w:cs="仿宋"/>
          <w:bCs/>
          <w:szCs w:val="21"/>
          <w:lang w:val="zh-CN"/>
        </w:rPr>
        <w:instrText xml:space="preserve"> HYPERLINK \l _Toc9523 </w:instrText>
      </w:r>
      <w:r>
        <w:rPr>
          <w:rFonts w:hint="eastAsia" w:ascii="Times New Roman" w:hAnsi="Times New Roman" w:eastAsia="仿宋" w:cs="仿宋"/>
          <w:bCs/>
          <w:szCs w:val="21"/>
          <w:lang w:val="zh-CN"/>
        </w:rPr>
        <w:fldChar w:fldCharType="separate"/>
      </w:r>
      <w:r>
        <w:rPr>
          <w:rFonts w:hint="eastAsia" w:ascii="Times New Roman" w:hAnsi="Times New Roman" w:eastAsia="仿宋" w:cs="仿宋"/>
          <w:bCs/>
          <w:szCs w:val="44"/>
        </w:rPr>
        <w:t>附件十</w:t>
      </w:r>
      <w:r>
        <w:rPr>
          <w:rFonts w:hint="eastAsia" w:ascii="Times New Roman" w:hAnsi="Times New Roman" w:eastAsia="仿宋" w:cs="仿宋"/>
          <w:bCs/>
          <w:szCs w:val="44"/>
          <w:lang w:val="en-US" w:eastAsia="zh-CN"/>
        </w:rPr>
        <w:t xml:space="preserve">二 </w:t>
      </w:r>
      <w:r>
        <w:rPr>
          <w:rFonts w:hint="eastAsia" w:ascii="Times New Roman" w:hAnsi="Times New Roman" w:eastAsia="仿宋" w:cs="仿宋"/>
          <w:bCs/>
          <w:szCs w:val="44"/>
        </w:rPr>
        <w:t>其他技术及商务证明材料</w:t>
      </w:r>
      <w:r>
        <w:tab/>
      </w:r>
      <w:r>
        <w:fldChar w:fldCharType="begin"/>
      </w:r>
      <w:r>
        <w:instrText xml:space="preserve"> PAGEREF _Toc9523 \h </w:instrText>
      </w:r>
      <w:r>
        <w:fldChar w:fldCharType="separate"/>
      </w:r>
      <w:r>
        <w:t>- 42 -</w:t>
      </w:r>
      <w:r>
        <w:fldChar w:fldCharType="end"/>
      </w:r>
      <w:r>
        <w:rPr>
          <w:rFonts w:hint="eastAsia" w:ascii="Times New Roman" w:hAnsi="Times New Roman" w:eastAsia="仿宋" w:cs="仿宋"/>
          <w:bCs/>
          <w:szCs w:val="21"/>
          <w:lang w:val="zh-CN"/>
        </w:rPr>
        <w:fldChar w:fldCharType="end"/>
      </w:r>
    </w:p>
    <w:p w14:paraId="58F28A5A">
      <w:pPr>
        <w:spacing w:line="560" w:lineRule="exact"/>
        <w:rPr>
          <w:rFonts w:ascii="Times New Roman" w:hAnsi="Times New Roman"/>
        </w:rPr>
      </w:pPr>
      <w:r>
        <w:rPr>
          <w:rFonts w:hint="eastAsia" w:ascii="Times New Roman" w:hAnsi="Times New Roman" w:eastAsia="仿宋" w:cs="仿宋"/>
          <w:bCs/>
          <w:szCs w:val="21"/>
          <w:lang w:val="zh-CN"/>
        </w:rPr>
        <w:fldChar w:fldCharType="end"/>
      </w:r>
    </w:p>
    <w:p w14:paraId="52EE0B72">
      <w:pPr>
        <w:pStyle w:val="16"/>
        <w:tabs>
          <w:tab w:val="left" w:pos="2493"/>
          <w:tab w:val="center" w:pos="4677"/>
        </w:tabs>
        <w:spacing w:before="0" w:after="0" w:line="560" w:lineRule="exact"/>
        <w:jc w:val="left"/>
        <w:rPr>
          <w:rFonts w:ascii="Times New Roman" w:hAnsi="Times New Roman" w:eastAsia="仿宋"/>
          <w:sz w:val="44"/>
          <w:szCs w:val="44"/>
        </w:rPr>
        <w:sectPr>
          <w:footerReference r:id="rId7" w:type="first"/>
          <w:footerReference r:id="rId6" w:type="default"/>
          <w:pgSz w:w="11906" w:h="16838"/>
          <w:pgMar w:top="1361" w:right="1134" w:bottom="1134" w:left="1418" w:header="907" w:footer="992" w:gutter="0"/>
          <w:pgNumType w:fmt="numberInDash"/>
          <w:cols w:space="720" w:num="1"/>
          <w:titlePg/>
          <w:docGrid w:linePitch="312" w:charSpace="0"/>
        </w:sectPr>
      </w:pPr>
      <w:bookmarkStart w:id="7" w:name="_Toc486321056"/>
    </w:p>
    <w:p w14:paraId="7D2F9666">
      <w:pPr>
        <w:pStyle w:val="16"/>
        <w:tabs>
          <w:tab w:val="left" w:pos="2493"/>
          <w:tab w:val="center" w:pos="4677"/>
        </w:tabs>
        <w:spacing w:before="0" w:after="0" w:line="560" w:lineRule="exact"/>
        <w:jc w:val="center"/>
        <w:rPr>
          <w:rFonts w:ascii="Times New Roman" w:hAnsi="Times New Roman" w:eastAsia="仿宋"/>
          <w:sz w:val="44"/>
          <w:szCs w:val="44"/>
        </w:rPr>
      </w:pPr>
      <w:bookmarkStart w:id="8" w:name="_Toc28434"/>
      <w:bookmarkStart w:id="9" w:name="_Toc21323"/>
      <w:bookmarkStart w:id="10" w:name="_Toc7837"/>
      <w:bookmarkStart w:id="11" w:name="_Toc30191"/>
      <w:bookmarkStart w:id="12" w:name="_Toc28405"/>
      <w:bookmarkStart w:id="13" w:name="_Toc29025"/>
      <w:bookmarkStart w:id="14" w:name="_Toc91421086"/>
      <w:bookmarkStart w:id="15" w:name="_Toc5648"/>
      <w:bookmarkStart w:id="16" w:name="_Toc15330"/>
      <w:bookmarkStart w:id="17" w:name="_Toc23475"/>
      <w:bookmarkStart w:id="18" w:name="_Toc17260"/>
      <w:bookmarkStart w:id="19" w:name="_Toc5836"/>
      <w:r>
        <w:rPr>
          <w:rFonts w:hint="eastAsia" w:ascii="Times New Roman" w:hAnsi="Times New Roman" w:eastAsia="仿宋"/>
          <w:sz w:val="44"/>
          <w:szCs w:val="44"/>
        </w:rPr>
        <w:t>第一章  比选公告</w:t>
      </w:r>
      <w:bookmarkEnd w:id="7"/>
      <w:bookmarkEnd w:id="8"/>
      <w:bookmarkEnd w:id="9"/>
      <w:bookmarkEnd w:id="10"/>
      <w:bookmarkEnd w:id="11"/>
      <w:bookmarkEnd w:id="12"/>
      <w:bookmarkEnd w:id="13"/>
      <w:bookmarkEnd w:id="14"/>
      <w:bookmarkEnd w:id="15"/>
      <w:bookmarkEnd w:id="16"/>
      <w:bookmarkEnd w:id="17"/>
      <w:bookmarkEnd w:id="18"/>
      <w:bookmarkEnd w:id="19"/>
    </w:p>
    <w:p w14:paraId="03004468">
      <w:pPr>
        <w:spacing w:line="560" w:lineRule="exact"/>
        <w:jc w:val="left"/>
        <w:rPr>
          <w:rFonts w:ascii="Times New Roman" w:hAnsi="Times New Roman" w:eastAsia="仿宋" w:cs="仿宋"/>
        </w:rPr>
      </w:pPr>
      <w:r>
        <w:rPr>
          <w:rFonts w:hint="eastAsia" w:ascii="Times New Roman" w:hAnsi="Times New Roman" w:eastAsia="仿宋" w:cs="仿宋"/>
        </w:rPr>
        <w:t>福建省能源石化信息科技有限责任公司拟对</w:t>
      </w:r>
      <w:r>
        <w:rPr>
          <w:rFonts w:hint="eastAsia" w:ascii="Times New Roman" w:hAnsi="Times New Roman" w:eastAsia="仿宋" w:cs="仿宋"/>
          <w:lang w:eastAsia="zh-CN"/>
        </w:rPr>
        <w:t>大屏显示系统建设项目</w:t>
      </w:r>
      <w:r>
        <w:rPr>
          <w:rFonts w:hint="eastAsia" w:ascii="Times New Roman" w:hAnsi="Times New Roman" w:eastAsia="仿宋" w:cs="仿宋"/>
        </w:rPr>
        <w:t>进行比选，选定中选人。为了“公开、公平、公正、透明”，引导参选人进行正确参选，特制定本文件。</w:t>
      </w:r>
    </w:p>
    <w:p w14:paraId="712836F4">
      <w:pPr>
        <w:spacing w:line="560" w:lineRule="exact"/>
        <w:ind w:firstLine="480" w:firstLineChars="200"/>
        <w:rPr>
          <w:rFonts w:ascii="Times New Roman" w:hAnsi="Times New Roman" w:eastAsia="仿宋" w:cs="仿宋"/>
        </w:rPr>
      </w:pPr>
      <w:r>
        <w:rPr>
          <w:rFonts w:hint="eastAsia" w:ascii="Times New Roman" w:hAnsi="Times New Roman" w:eastAsia="仿宋" w:cs="仿宋"/>
        </w:rPr>
        <w:t>一、参选人资格要求：</w:t>
      </w:r>
    </w:p>
    <w:p w14:paraId="0ED289F7">
      <w:pPr>
        <w:pStyle w:val="21"/>
        <w:numPr>
          <w:ilvl w:val="0"/>
          <w:numId w:val="1"/>
        </w:numPr>
        <w:spacing w:line="560" w:lineRule="exact"/>
        <w:ind w:firstLine="480"/>
        <w:rPr>
          <w:rFonts w:ascii="Times New Roman" w:hAnsi="Times New Roman" w:eastAsia="仿宋" w:cs="仿宋"/>
          <w:sz w:val="24"/>
          <w:szCs w:val="24"/>
        </w:rPr>
      </w:pPr>
      <w:r>
        <w:rPr>
          <w:rFonts w:hint="eastAsia" w:ascii="Times New Roman" w:hAnsi="Times New Roman" w:eastAsia="仿宋" w:cs="仿宋"/>
          <w:sz w:val="24"/>
          <w:szCs w:val="24"/>
        </w:rPr>
        <w:t>参选人须为合法注册并具有中国大陆独立法人资格的企业，且具有良好的财务状况和商业信誉，</w:t>
      </w:r>
      <w:r>
        <w:rPr>
          <w:rFonts w:hint="eastAsia" w:ascii="Times New Roman" w:hAnsi="Times New Roman" w:eastAsia="仿宋" w:cs="仿宋"/>
          <w:color w:val="000000"/>
          <w:sz w:val="24"/>
          <w:szCs w:val="24"/>
        </w:rPr>
        <w:t>禁止列入“信用中国”受惩黑名单和失信被执行人企业法人参加比选；参选人没有正在进行或将要发生的对参选人不利的重大诉讼或仲裁，</w:t>
      </w:r>
      <w:r>
        <w:rPr>
          <w:rFonts w:hint="eastAsia" w:ascii="Times New Roman" w:hAnsi="Times New Roman" w:eastAsia="仿宋" w:cs="仿宋"/>
          <w:sz w:val="24"/>
          <w:szCs w:val="24"/>
        </w:rPr>
        <w:t>经营年限内与比选人及其权属企业无诉讼/仲裁纠纷，无偷税漏税行为、无税务欺诈行为及其他违法经营行为，参选人须提供信用中国网站查询结果截图、营业执照复印件并加盖公章。</w:t>
      </w:r>
    </w:p>
    <w:p w14:paraId="0F271B99">
      <w:pPr>
        <w:pStyle w:val="21"/>
        <w:numPr>
          <w:ilvl w:val="0"/>
          <w:numId w:val="1"/>
        </w:numPr>
        <w:spacing w:line="560" w:lineRule="exact"/>
        <w:ind w:firstLine="480"/>
        <w:rPr>
          <w:rFonts w:ascii="Times New Roman" w:hAnsi="Times New Roman" w:eastAsia="仿宋" w:cs="仿宋"/>
          <w:sz w:val="24"/>
          <w:szCs w:val="24"/>
        </w:rPr>
      </w:pPr>
      <w:r>
        <w:rPr>
          <w:rFonts w:hint="eastAsia" w:ascii="Times New Roman" w:hAnsi="Times New Roman" w:eastAsia="仿宋" w:cs="仿宋"/>
          <w:sz w:val="24"/>
          <w:szCs w:val="24"/>
        </w:rPr>
        <w:t>参选代表应执有法定代表人的授权委托书（若为法定代表人直接参加可不需此件，但须提供法定代表人身份证复印件）。</w:t>
      </w:r>
    </w:p>
    <w:p w14:paraId="5075F2A7">
      <w:pPr>
        <w:pStyle w:val="21"/>
        <w:numPr>
          <w:ilvl w:val="0"/>
          <w:numId w:val="1"/>
        </w:numPr>
        <w:spacing w:line="560" w:lineRule="exact"/>
        <w:ind w:firstLineChars="0"/>
        <w:rPr>
          <w:rFonts w:ascii="Times New Roman" w:hAnsi="Times New Roman" w:eastAsia="仿宋" w:cs="仿宋"/>
          <w:sz w:val="24"/>
          <w:szCs w:val="24"/>
          <w:highlight w:val="none"/>
        </w:rPr>
      </w:pPr>
      <w:r>
        <w:rPr>
          <w:rFonts w:hint="eastAsia" w:ascii="Times New Roman" w:hAnsi="Times New Roman" w:eastAsia="仿宋" w:cs="仿宋"/>
          <w:sz w:val="24"/>
          <w:szCs w:val="24"/>
        </w:rPr>
        <w:t>参选人需提供上述相关资料证明。参选人提供的证明材料若为复印件，则复印件均须加盖公章，在中选后进行原件核对</w:t>
      </w:r>
      <w:r>
        <w:rPr>
          <w:rFonts w:hint="eastAsia" w:ascii="Times New Roman" w:hAnsi="Times New Roman" w:eastAsia="仿宋" w:cs="仿宋"/>
          <w:sz w:val="24"/>
          <w:szCs w:val="24"/>
          <w:highlight w:val="none"/>
        </w:rPr>
        <w:t>。如参选人提供资料证明与事实不符的，需承担相应的经济及法律责任，并取消参选或中选资格。</w:t>
      </w:r>
    </w:p>
    <w:p w14:paraId="00959131">
      <w:pPr>
        <w:pStyle w:val="21"/>
        <w:numPr>
          <w:ilvl w:val="0"/>
          <w:numId w:val="1"/>
        </w:numPr>
        <w:spacing w:line="560" w:lineRule="exact"/>
        <w:ind w:firstLine="480"/>
        <w:rPr>
          <w:rFonts w:ascii="Times New Roman" w:hAnsi="Times New Roman" w:eastAsia="仿宋" w:cs="仿宋"/>
          <w:sz w:val="24"/>
          <w:szCs w:val="24"/>
          <w:highlight w:val="none"/>
        </w:rPr>
      </w:pPr>
      <w:r>
        <w:rPr>
          <w:rFonts w:hint="eastAsia" w:ascii="Times New Roman" w:hAnsi="Times New Roman" w:eastAsia="仿宋" w:cs="仿宋"/>
          <w:sz w:val="24"/>
          <w:szCs w:val="24"/>
          <w:highlight w:val="none"/>
        </w:rPr>
        <w:t>其他资格要求详见本比选文件的其他规定。</w:t>
      </w:r>
    </w:p>
    <w:p w14:paraId="007EF000">
      <w:pPr>
        <w:numPr>
          <w:ilvl w:val="0"/>
          <w:numId w:val="2"/>
        </w:numPr>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rPr>
        <w:t xml:space="preserve">参选文件递交截止时间：       </w:t>
      </w:r>
    </w:p>
    <w:p w14:paraId="66DDBC30">
      <w:pPr>
        <w:spacing w:line="560" w:lineRule="exact"/>
        <w:ind w:firstLine="480" w:firstLineChars="200"/>
        <w:rPr>
          <w:highlight w:val="none"/>
        </w:rPr>
      </w:pPr>
      <w:r>
        <w:rPr>
          <w:rFonts w:hint="eastAsia" w:ascii="Times New Roman" w:hAnsi="Times New Roman" w:eastAsia="仿宋" w:cs="仿宋"/>
          <w:highlight w:val="none"/>
        </w:rPr>
        <w:t>参选文件递交的截止时间：</w:t>
      </w:r>
      <w:r>
        <w:rPr>
          <w:rFonts w:hint="eastAsia" w:ascii="Times New Roman" w:hAnsi="Times New Roman" w:eastAsia="仿宋" w:cs="仿宋"/>
          <w:highlight w:val="none"/>
          <w:lang w:val="en-US" w:eastAsia="zh-CN"/>
        </w:rPr>
        <w:t>2025</w:t>
      </w:r>
      <w:r>
        <w:rPr>
          <w:rFonts w:hint="eastAsia" w:ascii="Times New Roman" w:hAnsi="Times New Roman" w:eastAsia="仿宋" w:cs="仿宋"/>
          <w:highlight w:val="none"/>
        </w:rPr>
        <w:t>年</w:t>
      </w:r>
      <w:r>
        <w:rPr>
          <w:rFonts w:hint="eastAsia" w:ascii="Times New Roman" w:hAnsi="Times New Roman" w:eastAsia="仿宋" w:cs="仿宋"/>
          <w:highlight w:val="none"/>
          <w:lang w:val="en-US" w:eastAsia="zh-CN"/>
        </w:rPr>
        <w:t>6</w:t>
      </w:r>
      <w:r>
        <w:rPr>
          <w:rFonts w:hint="eastAsia" w:ascii="Times New Roman" w:hAnsi="Times New Roman" w:eastAsia="仿宋" w:cs="仿宋"/>
          <w:highlight w:val="none"/>
        </w:rPr>
        <w:t>月</w:t>
      </w:r>
      <w:r>
        <w:rPr>
          <w:rFonts w:hint="eastAsia" w:ascii="Times New Roman" w:hAnsi="Times New Roman" w:eastAsia="仿宋" w:cs="仿宋"/>
          <w:highlight w:val="none"/>
          <w:lang w:val="en-US" w:eastAsia="zh-CN"/>
        </w:rPr>
        <w:t>25</w:t>
      </w:r>
      <w:r>
        <w:rPr>
          <w:rFonts w:hint="eastAsia" w:ascii="Times New Roman" w:hAnsi="Times New Roman" w:eastAsia="仿宋" w:cs="仿宋"/>
          <w:highlight w:val="none"/>
        </w:rPr>
        <w:t>日</w:t>
      </w:r>
      <w:r>
        <w:rPr>
          <w:rFonts w:hint="eastAsia" w:ascii="Times New Roman" w:hAnsi="Times New Roman" w:eastAsia="仿宋" w:cs="仿宋"/>
          <w:highlight w:val="none"/>
          <w:lang w:val="en-US" w:eastAsia="zh-CN"/>
        </w:rPr>
        <w:t>09</w:t>
      </w:r>
      <w:r>
        <w:rPr>
          <w:rFonts w:hint="eastAsia" w:ascii="Times New Roman" w:hAnsi="Times New Roman" w:eastAsia="仿宋" w:cs="仿宋"/>
          <w:highlight w:val="none"/>
        </w:rPr>
        <w:t>:00前。</w:t>
      </w:r>
    </w:p>
    <w:p w14:paraId="5CAF21B4">
      <w:pPr>
        <w:numPr>
          <w:ilvl w:val="0"/>
          <w:numId w:val="2"/>
        </w:numPr>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rPr>
        <w:t>其他说明</w:t>
      </w:r>
    </w:p>
    <w:p w14:paraId="6D4CC1BB">
      <w:pPr>
        <w:spacing w:line="560" w:lineRule="exact"/>
        <w:ind w:firstLine="480" w:firstLineChars="200"/>
        <w:rPr>
          <w:highlight w:val="none"/>
        </w:rPr>
      </w:pPr>
      <w:r>
        <w:rPr>
          <w:rFonts w:hint="eastAsia" w:ascii="Times New Roman" w:hAnsi="Times New Roman" w:eastAsia="仿宋" w:cs="仿宋"/>
          <w:highlight w:val="none"/>
        </w:rPr>
        <w:t>本项目为比选人配合公司销售业务进行产品选型、供应商选择及销售方案制定的前置选型活动，若比选人</w:t>
      </w:r>
      <w:r>
        <w:rPr>
          <w:rFonts w:hint="eastAsia" w:ascii="Times New Roman" w:hAnsi="Times New Roman" w:eastAsia="仿宋" w:cs="仿宋"/>
          <w:highlight w:val="none"/>
          <w:lang w:eastAsia="zh-CN"/>
        </w:rPr>
        <w:t>未中选</w:t>
      </w:r>
      <w:r>
        <w:rPr>
          <w:rFonts w:hint="eastAsia" w:ascii="Times New Roman" w:hAnsi="Times New Roman" w:eastAsia="仿宋" w:cs="仿宋"/>
          <w:highlight w:val="none"/>
        </w:rPr>
        <w:t>前置选型目标项目，将不与中选人签订本次比选项目合同，所产生的参选成本由参选人自行承担。</w:t>
      </w:r>
    </w:p>
    <w:p w14:paraId="5EE0F116">
      <w:pPr>
        <w:spacing w:line="560" w:lineRule="exact"/>
        <w:ind w:firstLine="480" w:firstLineChars="200"/>
        <w:rPr>
          <w:rFonts w:ascii="Times New Roman" w:hAnsi="Times New Roman" w:eastAsia="仿宋" w:cs="仿宋"/>
          <w:highlight w:val="none"/>
        </w:rPr>
      </w:pPr>
      <w:r>
        <w:rPr>
          <w:rFonts w:hint="eastAsia" w:ascii="Times New Roman" w:hAnsi="Times New Roman" w:eastAsia="仿宋" w:cs="仿宋"/>
          <w:highlight w:val="none"/>
          <w:lang w:val="en-US" w:eastAsia="zh-CN"/>
        </w:rPr>
        <w:t>四</w:t>
      </w:r>
      <w:r>
        <w:rPr>
          <w:rFonts w:hint="eastAsia" w:ascii="Times New Roman" w:hAnsi="Times New Roman" w:eastAsia="仿宋" w:cs="仿宋"/>
          <w:highlight w:val="none"/>
        </w:rPr>
        <w:t>、本自主比选采用综合评分法的评选方式。</w:t>
      </w:r>
    </w:p>
    <w:p w14:paraId="67103412">
      <w:pPr>
        <w:spacing w:line="560" w:lineRule="exact"/>
        <w:ind w:firstLine="480" w:firstLineChars="200"/>
        <w:rPr>
          <w:rFonts w:hint="eastAsia" w:ascii="Times New Roman" w:hAnsi="Times New Roman" w:eastAsia="仿宋" w:cs="仿宋"/>
          <w:highlight w:val="none"/>
        </w:rPr>
      </w:pPr>
      <w:r>
        <w:rPr>
          <w:rFonts w:hint="eastAsia" w:ascii="Times New Roman" w:hAnsi="Times New Roman" w:eastAsia="仿宋" w:cs="仿宋"/>
          <w:highlight w:val="none"/>
        </w:rPr>
        <w:t>联系人：詹先生</w:t>
      </w:r>
      <w:r>
        <w:rPr>
          <w:rFonts w:ascii="Times New Roman" w:hAnsi="Times New Roman" w:eastAsia="仿宋" w:cs="仿宋"/>
          <w:highlight w:val="none"/>
        </w:rPr>
        <w:t xml:space="preserve"> </w:t>
      </w:r>
      <w:r>
        <w:rPr>
          <w:rFonts w:hint="eastAsia" w:ascii="Times New Roman" w:hAnsi="Times New Roman" w:eastAsia="仿宋" w:cs="仿宋"/>
          <w:highlight w:val="none"/>
        </w:rPr>
        <w:t xml:space="preserve"> </w:t>
      </w:r>
    </w:p>
    <w:p w14:paraId="36DFA028">
      <w:pPr>
        <w:spacing w:line="560" w:lineRule="exact"/>
        <w:ind w:firstLine="480" w:firstLineChars="200"/>
        <w:rPr>
          <w:rFonts w:ascii="Times New Roman" w:hAnsi="Times New Roman" w:eastAsia="仿宋" w:cs="仿宋"/>
          <w:highlight w:val="none"/>
        </w:rPr>
      </w:pPr>
      <w:r>
        <w:rPr>
          <w:rFonts w:hint="eastAsia" w:ascii="Times New Roman" w:hAnsi="Times New Roman" w:eastAsia="仿宋" w:cs="仿宋"/>
          <w:highlight w:val="none"/>
        </w:rPr>
        <w:t>电话：</w:t>
      </w:r>
      <w:r>
        <w:rPr>
          <w:rFonts w:hint="eastAsia" w:ascii="Times New Roman" w:hAnsi="Times New Roman" w:eastAsia="仿宋" w:cs="仿宋"/>
          <w:highlight w:val="none"/>
          <w:lang w:val="zh-CN"/>
        </w:rPr>
        <w:t>0591-</w:t>
      </w:r>
      <w:r>
        <w:rPr>
          <w:rFonts w:hint="eastAsia" w:ascii="Times New Roman" w:hAnsi="Times New Roman" w:eastAsia="仿宋" w:cs="仿宋"/>
          <w:highlight w:val="none"/>
        </w:rPr>
        <w:t>23410711</w:t>
      </w:r>
    </w:p>
    <w:p w14:paraId="7589FD33">
      <w:pPr>
        <w:spacing w:line="560" w:lineRule="exact"/>
        <w:ind w:firstLine="480" w:firstLineChars="200"/>
        <w:rPr>
          <w:rFonts w:hint="eastAsia" w:ascii="Times New Roman" w:hAnsi="Times New Roman" w:eastAsia="仿宋" w:cs="仿宋"/>
          <w:highlight w:val="none"/>
        </w:rPr>
      </w:pPr>
      <w:r>
        <w:rPr>
          <w:rFonts w:hint="eastAsia" w:ascii="Times New Roman" w:hAnsi="Times New Roman" w:eastAsia="仿宋" w:cs="仿宋"/>
          <w:highlight w:val="none"/>
        </w:rPr>
        <w:t>联系地址：福建省福州市晋安区塔头路396号福建能源石化大厦15层；福建省能源石化信息科技有限责任公司</w:t>
      </w:r>
    </w:p>
    <w:p w14:paraId="65B77971">
      <w:pPr>
        <w:spacing w:line="560" w:lineRule="exact"/>
        <w:ind w:firstLine="480" w:firstLineChars="200"/>
        <w:rPr>
          <w:rFonts w:ascii="Times New Roman" w:hAnsi="Times New Roman" w:eastAsia="仿宋" w:cs="仿宋"/>
          <w:highlight w:val="none"/>
        </w:rPr>
      </w:pPr>
      <w:r>
        <w:rPr>
          <w:rFonts w:hint="eastAsia" w:ascii="Times New Roman" w:hAnsi="Times New Roman" w:eastAsia="仿宋" w:cs="仿宋"/>
          <w:highlight w:val="none"/>
        </w:rPr>
        <w:t>邮编：350001</w:t>
      </w:r>
    </w:p>
    <w:p w14:paraId="39597C27">
      <w:pPr>
        <w:spacing w:line="560" w:lineRule="exact"/>
        <w:ind w:firstLine="480" w:firstLineChars="200"/>
        <w:rPr>
          <w:rFonts w:ascii="Times New Roman" w:hAnsi="Times New Roman" w:eastAsia="仿宋" w:cs="仿宋"/>
          <w:highlight w:val="none"/>
        </w:rPr>
      </w:pPr>
      <w:r>
        <w:rPr>
          <w:rFonts w:hint="eastAsia" w:ascii="Times New Roman" w:hAnsi="Times New Roman" w:eastAsia="仿宋" w:cs="仿宋"/>
          <w:highlight w:val="none"/>
        </w:rPr>
        <w:t>电子邮箱：nhxk@fjnhjt.com</w:t>
      </w:r>
    </w:p>
    <w:p w14:paraId="771923E1">
      <w:pPr>
        <w:pStyle w:val="16"/>
        <w:spacing w:before="0" w:after="0" w:line="560" w:lineRule="exact"/>
        <w:rPr>
          <w:rFonts w:ascii="Times New Roman" w:hAnsi="Times New Roman" w:eastAsia="仿宋"/>
          <w:sz w:val="44"/>
          <w:szCs w:val="44"/>
          <w:highlight w:val="none"/>
        </w:rPr>
      </w:pPr>
      <w:bookmarkStart w:id="20" w:name="_Toc486321057"/>
      <w:r>
        <w:rPr>
          <w:rFonts w:ascii="Times New Roman" w:hAnsi="Times New Roman" w:eastAsia="仿宋"/>
          <w:sz w:val="44"/>
          <w:szCs w:val="44"/>
          <w:highlight w:val="none"/>
        </w:rPr>
        <w:br w:type="page"/>
      </w:r>
      <w:bookmarkStart w:id="21" w:name="_Toc91421087"/>
      <w:bookmarkStart w:id="22" w:name="_Toc25837"/>
      <w:bookmarkStart w:id="23" w:name="_Toc30337"/>
      <w:bookmarkStart w:id="24" w:name="_Toc20834"/>
      <w:bookmarkStart w:id="25" w:name="_Toc8017"/>
      <w:bookmarkStart w:id="26" w:name="_Toc2872"/>
      <w:bookmarkStart w:id="27" w:name="_Toc26916"/>
      <w:bookmarkStart w:id="28" w:name="_Toc3946"/>
      <w:bookmarkStart w:id="29" w:name="_Toc5700"/>
      <w:bookmarkStart w:id="30" w:name="_Toc29377"/>
      <w:bookmarkStart w:id="31" w:name="_Toc13215"/>
      <w:bookmarkStart w:id="32" w:name="_Toc8892"/>
      <w:r>
        <w:rPr>
          <w:rFonts w:hint="eastAsia" w:ascii="Times New Roman" w:hAnsi="Times New Roman" w:eastAsia="仿宋"/>
          <w:sz w:val="44"/>
          <w:szCs w:val="44"/>
          <w:highlight w:val="none"/>
        </w:rPr>
        <w:t>第二章  比选须知</w:t>
      </w:r>
      <w:bookmarkEnd w:id="20"/>
      <w:bookmarkEnd w:id="21"/>
      <w:bookmarkEnd w:id="22"/>
      <w:bookmarkEnd w:id="23"/>
      <w:bookmarkEnd w:id="24"/>
      <w:bookmarkEnd w:id="25"/>
      <w:bookmarkEnd w:id="26"/>
      <w:bookmarkEnd w:id="27"/>
      <w:bookmarkEnd w:id="28"/>
      <w:bookmarkEnd w:id="29"/>
      <w:bookmarkEnd w:id="30"/>
      <w:bookmarkEnd w:id="31"/>
      <w:bookmarkEnd w:id="32"/>
    </w:p>
    <w:p w14:paraId="2620EC7D">
      <w:pPr>
        <w:autoSpaceDE w:val="0"/>
        <w:autoSpaceDN w:val="0"/>
        <w:spacing w:line="560" w:lineRule="exact"/>
        <w:ind w:left="720"/>
        <w:rPr>
          <w:rFonts w:ascii="Times New Roman" w:hAnsi="Times New Roman"/>
          <w:b/>
          <w:sz w:val="28"/>
          <w:szCs w:val="28"/>
          <w:highlight w:val="none"/>
        </w:rPr>
      </w:pPr>
    </w:p>
    <w:p w14:paraId="7FD2B774">
      <w:pPr>
        <w:pStyle w:val="3"/>
        <w:widowControl/>
        <w:spacing w:before="0" w:after="0" w:line="560" w:lineRule="exact"/>
        <w:ind w:left="576"/>
        <w:jc w:val="left"/>
        <w:rPr>
          <w:rFonts w:ascii="Times New Roman" w:hAnsi="Times New Roman" w:eastAsia="仿宋"/>
          <w:highlight w:val="none"/>
        </w:rPr>
      </w:pPr>
      <w:bookmarkStart w:id="33" w:name="_Toc27566"/>
      <w:bookmarkStart w:id="34" w:name="_Toc91421088"/>
      <w:bookmarkStart w:id="35" w:name="_Toc15446"/>
      <w:bookmarkStart w:id="36" w:name="_Toc27101"/>
      <w:bookmarkStart w:id="37" w:name="_Toc27118"/>
      <w:bookmarkStart w:id="38" w:name="_Toc9194"/>
      <w:bookmarkStart w:id="39" w:name="_Toc29478"/>
      <w:bookmarkStart w:id="40" w:name="_Toc14923"/>
      <w:bookmarkStart w:id="41" w:name="_Toc22050"/>
      <w:bookmarkStart w:id="42" w:name="_Toc5774"/>
      <w:bookmarkStart w:id="43" w:name="_Toc1488"/>
      <w:bookmarkStart w:id="44" w:name="_Toc6312"/>
      <w:r>
        <w:rPr>
          <w:rFonts w:hint="eastAsia" w:ascii="Times New Roman" w:hAnsi="Times New Roman" w:eastAsia="仿宋"/>
          <w:highlight w:val="none"/>
        </w:rPr>
        <w:t>一、比选范围</w:t>
      </w:r>
      <w:bookmarkEnd w:id="33"/>
      <w:bookmarkEnd w:id="34"/>
      <w:bookmarkEnd w:id="35"/>
      <w:bookmarkEnd w:id="36"/>
      <w:bookmarkEnd w:id="37"/>
      <w:bookmarkEnd w:id="38"/>
      <w:bookmarkEnd w:id="39"/>
      <w:bookmarkEnd w:id="40"/>
      <w:bookmarkEnd w:id="41"/>
      <w:bookmarkEnd w:id="42"/>
      <w:bookmarkEnd w:id="43"/>
      <w:bookmarkEnd w:id="44"/>
    </w:p>
    <w:p w14:paraId="4DC269FD">
      <w:pPr>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rPr>
        <w:t>本比选文件适用于本次</w:t>
      </w:r>
      <w:r>
        <w:rPr>
          <w:rFonts w:hint="eastAsia" w:ascii="Times New Roman" w:hAnsi="Times New Roman" w:eastAsia="仿宋" w:cs="宋体"/>
          <w:highlight w:val="none"/>
          <w:lang w:eastAsia="zh-CN"/>
        </w:rPr>
        <w:t>大屏显示系统建设项目</w:t>
      </w:r>
      <w:r>
        <w:rPr>
          <w:rFonts w:hint="eastAsia" w:ascii="Times New Roman" w:hAnsi="Times New Roman" w:eastAsia="仿宋" w:cs="宋体"/>
          <w:highlight w:val="none"/>
        </w:rPr>
        <w:t>的供货及相关服务</w:t>
      </w:r>
      <w:r>
        <w:rPr>
          <w:rFonts w:ascii="Times New Roman" w:hAnsi="Times New Roman" w:eastAsia="仿宋"/>
          <w:highlight w:val="none"/>
        </w:rPr>
        <w:t>。</w:t>
      </w:r>
    </w:p>
    <w:p w14:paraId="3655699B">
      <w:pPr>
        <w:pStyle w:val="3"/>
        <w:widowControl/>
        <w:spacing w:before="0" w:after="0" w:line="560" w:lineRule="exact"/>
        <w:ind w:left="576"/>
        <w:jc w:val="left"/>
        <w:rPr>
          <w:rFonts w:ascii="Times New Roman" w:hAnsi="Times New Roman" w:eastAsia="仿宋"/>
          <w:highlight w:val="none"/>
        </w:rPr>
      </w:pPr>
      <w:bookmarkStart w:id="45" w:name="_Toc15825"/>
      <w:bookmarkStart w:id="46" w:name="_Toc2718"/>
      <w:bookmarkStart w:id="47" w:name="_Toc4807"/>
      <w:bookmarkStart w:id="48" w:name="_Toc25297"/>
      <w:bookmarkStart w:id="49" w:name="_Toc16753"/>
      <w:bookmarkStart w:id="50" w:name="_Toc9152"/>
      <w:bookmarkStart w:id="51" w:name="_Toc91421089"/>
      <w:bookmarkStart w:id="52" w:name="_Toc8768"/>
      <w:bookmarkStart w:id="53" w:name="_Toc17561"/>
      <w:bookmarkStart w:id="54" w:name="_Toc2663"/>
      <w:bookmarkStart w:id="55" w:name="_Toc24905"/>
      <w:bookmarkStart w:id="56" w:name="_Toc12367"/>
      <w:r>
        <w:rPr>
          <w:rFonts w:hint="eastAsia" w:ascii="Times New Roman" w:hAnsi="Times New Roman" w:eastAsia="仿宋"/>
          <w:highlight w:val="none"/>
        </w:rPr>
        <w:t>二、定义和解释</w:t>
      </w:r>
      <w:bookmarkEnd w:id="45"/>
      <w:bookmarkEnd w:id="46"/>
      <w:bookmarkEnd w:id="47"/>
      <w:bookmarkEnd w:id="48"/>
      <w:bookmarkEnd w:id="49"/>
      <w:bookmarkEnd w:id="50"/>
      <w:bookmarkEnd w:id="51"/>
      <w:bookmarkEnd w:id="52"/>
      <w:bookmarkEnd w:id="53"/>
      <w:bookmarkEnd w:id="54"/>
      <w:bookmarkEnd w:id="55"/>
      <w:bookmarkEnd w:id="56"/>
    </w:p>
    <w:p w14:paraId="164F0338">
      <w:pPr>
        <w:pStyle w:val="21"/>
        <w:numPr>
          <w:ilvl w:val="0"/>
          <w:numId w:val="3"/>
        </w:numPr>
        <w:spacing w:line="560" w:lineRule="exact"/>
        <w:ind w:firstLine="480"/>
        <w:rPr>
          <w:rFonts w:ascii="Times New Roman" w:hAnsi="Times New Roman" w:eastAsia="仿宋"/>
          <w:sz w:val="24"/>
          <w:szCs w:val="24"/>
          <w:highlight w:val="none"/>
        </w:rPr>
      </w:pPr>
      <w:r>
        <w:rPr>
          <w:rFonts w:hint="eastAsia" w:ascii="Times New Roman" w:hAnsi="Times New Roman" w:eastAsia="仿宋"/>
          <w:sz w:val="24"/>
          <w:szCs w:val="24"/>
          <w:highlight w:val="none"/>
        </w:rPr>
        <w:t>“比选人”系福建省能源石化信息科技有限责任公司，即业主方。</w:t>
      </w:r>
    </w:p>
    <w:p w14:paraId="6223B609">
      <w:pPr>
        <w:pStyle w:val="21"/>
        <w:numPr>
          <w:ilvl w:val="0"/>
          <w:numId w:val="3"/>
        </w:numPr>
        <w:spacing w:line="560" w:lineRule="exact"/>
        <w:ind w:firstLine="480"/>
        <w:rPr>
          <w:rFonts w:ascii="Times New Roman" w:hAnsi="Times New Roman" w:eastAsia="仿宋"/>
          <w:sz w:val="24"/>
          <w:szCs w:val="24"/>
          <w:highlight w:val="none"/>
        </w:rPr>
      </w:pPr>
      <w:r>
        <w:rPr>
          <w:rFonts w:hint="eastAsia" w:ascii="Times New Roman" w:hAnsi="Times New Roman" w:eastAsia="仿宋"/>
          <w:sz w:val="24"/>
          <w:szCs w:val="24"/>
          <w:highlight w:val="none"/>
        </w:rPr>
        <w:t>“参选人”系指向比选人报名，领取比选文件，且已经提交或准备提交本次参选文件的企业法人。</w:t>
      </w:r>
    </w:p>
    <w:p w14:paraId="6B60EA3B">
      <w:pPr>
        <w:pStyle w:val="21"/>
        <w:numPr>
          <w:ilvl w:val="0"/>
          <w:numId w:val="3"/>
        </w:numPr>
        <w:spacing w:line="560" w:lineRule="exact"/>
        <w:ind w:firstLine="480"/>
        <w:rPr>
          <w:rFonts w:ascii="Times New Roman" w:hAnsi="Times New Roman" w:eastAsia="仿宋"/>
          <w:sz w:val="24"/>
          <w:szCs w:val="24"/>
          <w:highlight w:val="none"/>
        </w:rPr>
      </w:pPr>
      <w:r>
        <w:rPr>
          <w:rFonts w:hint="eastAsia" w:ascii="Times New Roman" w:hAnsi="Times New Roman" w:eastAsia="仿宋"/>
          <w:sz w:val="24"/>
          <w:szCs w:val="24"/>
          <w:highlight w:val="none"/>
        </w:rPr>
        <w:t>“参选代表”系指全权代表参选人参加本次比选活动并签署参选文件的人，如果参选代表不是参选人的法定代表人，须持有《法定代表人授权委托书》详见附件。</w:t>
      </w:r>
    </w:p>
    <w:p w14:paraId="491797EF">
      <w:pPr>
        <w:pStyle w:val="21"/>
        <w:numPr>
          <w:ilvl w:val="0"/>
          <w:numId w:val="3"/>
        </w:numPr>
        <w:spacing w:line="560" w:lineRule="exact"/>
        <w:ind w:firstLine="480"/>
        <w:rPr>
          <w:rFonts w:ascii="Times New Roman" w:hAnsi="Times New Roman" w:eastAsia="仿宋" w:cs="宋体"/>
          <w:kern w:val="0"/>
          <w:sz w:val="24"/>
          <w:szCs w:val="24"/>
          <w:highlight w:val="none"/>
        </w:rPr>
      </w:pPr>
      <w:r>
        <w:rPr>
          <w:rFonts w:hint="eastAsia" w:ascii="Times New Roman" w:hAnsi="Times New Roman" w:eastAsia="仿宋" w:cs="宋体"/>
          <w:sz w:val="24"/>
          <w:szCs w:val="24"/>
          <w:highlight w:val="none"/>
        </w:rPr>
        <w:t>“中选人”系指比选人按本自主</w:t>
      </w:r>
      <w:r>
        <w:rPr>
          <w:rFonts w:hint="eastAsia" w:ascii="Times New Roman" w:hAnsi="Times New Roman" w:eastAsia="仿宋" w:cs="宋体"/>
          <w:kern w:val="0"/>
          <w:sz w:val="24"/>
          <w:szCs w:val="24"/>
          <w:highlight w:val="none"/>
        </w:rPr>
        <w:t>比选文件的规定，经评选确定的本自主比选项目服务提供方。</w:t>
      </w:r>
    </w:p>
    <w:p w14:paraId="14C779F9">
      <w:pPr>
        <w:pStyle w:val="21"/>
        <w:numPr>
          <w:ilvl w:val="0"/>
          <w:numId w:val="3"/>
        </w:numPr>
        <w:spacing w:line="560" w:lineRule="exact"/>
        <w:ind w:firstLine="480"/>
        <w:rPr>
          <w:rFonts w:ascii="Times New Roman" w:hAnsi="Times New Roman" w:eastAsia="仿宋" w:cs="宋体"/>
          <w:kern w:val="0"/>
          <w:sz w:val="24"/>
          <w:szCs w:val="24"/>
          <w:highlight w:val="none"/>
        </w:rPr>
      </w:pPr>
      <w:r>
        <w:rPr>
          <w:rFonts w:ascii="Times New Roman" w:hAnsi="Times New Roman" w:eastAsia="仿宋" w:cs="宋体"/>
          <w:kern w:val="0"/>
          <w:sz w:val="24"/>
          <w:szCs w:val="24"/>
          <w:highlight w:val="none"/>
        </w:rPr>
        <w:t>“产品”系指向自主比选人提</w:t>
      </w:r>
      <w:r>
        <w:rPr>
          <w:rFonts w:hint="eastAsia" w:ascii="Times New Roman" w:hAnsi="Times New Roman" w:eastAsia="仿宋" w:cs="宋体"/>
          <w:kern w:val="0"/>
          <w:sz w:val="24"/>
          <w:szCs w:val="24"/>
          <w:highlight w:val="none"/>
        </w:rPr>
        <w:t>供的</w:t>
      </w:r>
      <w:r>
        <w:rPr>
          <w:rFonts w:ascii="Times New Roman" w:hAnsi="Times New Roman" w:eastAsia="仿宋" w:cs="宋体"/>
          <w:kern w:val="0"/>
          <w:sz w:val="24"/>
          <w:szCs w:val="24"/>
          <w:highlight w:val="none"/>
        </w:rPr>
        <w:t>服务产品。</w:t>
      </w:r>
    </w:p>
    <w:p w14:paraId="4484EDD2">
      <w:pPr>
        <w:pStyle w:val="21"/>
        <w:numPr>
          <w:ilvl w:val="0"/>
          <w:numId w:val="3"/>
        </w:numPr>
        <w:spacing w:line="560" w:lineRule="exact"/>
        <w:ind w:firstLine="480"/>
        <w:rPr>
          <w:rFonts w:ascii="Times New Roman" w:hAnsi="Times New Roman" w:eastAsia="仿宋" w:cs="宋体"/>
          <w:kern w:val="0"/>
          <w:sz w:val="24"/>
          <w:szCs w:val="24"/>
          <w:highlight w:val="none"/>
        </w:rPr>
      </w:pPr>
      <w:r>
        <w:rPr>
          <w:rFonts w:ascii="Times New Roman" w:hAnsi="Times New Roman" w:eastAsia="仿宋" w:cs="宋体"/>
          <w:kern w:val="0"/>
          <w:sz w:val="24"/>
          <w:szCs w:val="24"/>
          <w:highlight w:val="none"/>
        </w:rPr>
        <w:t>“服务”系指自主比选文件规定参选人须承担的服务工作内容和其它的义务。</w:t>
      </w:r>
    </w:p>
    <w:p w14:paraId="2EC12DD5">
      <w:pPr>
        <w:pStyle w:val="21"/>
        <w:numPr>
          <w:ilvl w:val="0"/>
          <w:numId w:val="3"/>
        </w:numPr>
        <w:spacing w:line="560" w:lineRule="exact"/>
        <w:ind w:firstLine="480"/>
        <w:rPr>
          <w:rFonts w:ascii="Times New Roman" w:hAnsi="Times New Roman" w:eastAsia="仿宋" w:cs="宋体"/>
          <w:kern w:val="0"/>
          <w:sz w:val="24"/>
          <w:szCs w:val="24"/>
          <w:highlight w:val="none"/>
        </w:rPr>
      </w:pPr>
      <w:r>
        <w:rPr>
          <w:rFonts w:hint="eastAsia" w:ascii="Times New Roman" w:hAnsi="Times New Roman" w:eastAsia="仿宋" w:cs="宋体"/>
          <w:kern w:val="0"/>
          <w:sz w:val="24"/>
          <w:szCs w:val="24"/>
          <w:highlight w:val="none"/>
        </w:rPr>
        <w:t>参选费用：无论比选过程中的做法和结果如何，参选人自行承担所有与参加比选有关的全部费用。</w:t>
      </w:r>
    </w:p>
    <w:p w14:paraId="6C0D201A">
      <w:pPr>
        <w:pStyle w:val="3"/>
        <w:widowControl/>
        <w:spacing w:before="0" w:after="0" w:line="560" w:lineRule="exact"/>
        <w:ind w:left="576"/>
        <w:jc w:val="left"/>
        <w:rPr>
          <w:rFonts w:ascii="Times New Roman" w:hAnsi="Times New Roman" w:eastAsia="仿宋"/>
          <w:highlight w:val="none"/>
        </w:rPr>
      </w:pPr>
      <w:bookmarkStart w:id="57" w:name="_Toc91421090"/>
      <w:bookmarkStart w:id="58" w:name="_Toc9717"/>
      <w:bookmarkStart w:id="59" w:name="_Toc30646"/>
      <w:bookmarkStart w:id="60" w:name="_Toc25373"/>
      <w:bookmarkStart w:id="61" w:name="_Toc20978"/>
      <w:bookmarkStart w:id="62" w:name="_Toc23721"/>
      <w:bookmarkStart w:id="63" w:name="_Toc19664"/>
      <w:bookmarkStart w:id="64" w:name="_Toc8063"/>
      <w:bookmarkStart w:id="65" w:name="_Toc21758"/>
      <w:bookmarkStart w:id="66" w:name="_Toc22744"/>
      <w:bookmarkStart w:id="67" w:name="_Toc28426"/>
      <w:bookmarkStart w:id="68" w:name="_Toc32506"/>
      <w:r>
        <w:rPr>
          <w:rFonts w:hint="eastAsia" w:ascii="Times New Roman" w:hAnsi="Times New Roman" w:eastAsia="仿宋"/>
          <w:highlight w:val="none"/>
        </w:rPr>
        <w:t>三、比选文件组成</w:t>
      </w:r>
      <w:bookmarkEnd w:id="57"/>
      <w:bookmarkEnd w:id="58"/>
      <w:bookmarkEnd w:id="59"/>
      <w:bookmarkEnd w:id="60"/>
      <w:bookmarkEnd w:id="61"/>
      <w:bookmarkEnd w:id="62"/>
      <w:bookmarkEnd w:id="63"/>
      <w:bookmarkEnd w:id="64"/>
      <w:bookmarkEnd w:id="65"/>
      <w:bookmarkEnd w:id="66"/>
      <w:bookmarkEnd w:id="67"/>
      <w:bookmarkEnd w:id="68"/>
    </w:p>
    <w:p w14:paraId="0F5A2A7C">
      <w:pPr>
        <w:numPr>
          <w:ilvl w:val="0"/>
          <w:numId w:val="4"/>
        </w:numPr>
        <w:autoSpaceDE w:val="0"/>
        <w:autoSpaceDN w:val="0"/>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rPr>
        <w:t>比选文件包括下列内容：比选公告、比选须知、项目概况、参选报价单、承诺函等。</w:t>
      </w:r>
    </w:p>
    <w:p w14:paraId="29CA228C">
      <w:pPr>
        <w:numPr>
          <w:ilvl w:val="0"/>
          <w:numId w:val="4"/>
        </w:numPr>
        <w:autoSpaceDE w:val="0"/>
        <w:autoSpaceDN w:val="0"/>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rPr>
        <w:t>比选文件除本条第1款中内容外，比选人在比选期间发出的书面文件和其他修改或补充函件，均是比选文件不可分割的组成部分。</w:t>
      </w:r>
    </w:p>
    <w:p w14:paraId="3F27D7A8">
      <w:pPr>
        <w:numPr>
          <w:ilvl w:val="0"/>
          <w:numId w:val="4"/>
        </w:numPr>
        <w:autoSpaceDE w:val="0"/>
        <w:autoSpaceDN w:val="0"/>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rPr>
        <w:t>参选人应认真阅读、并充分理解比选文件的全部内容（包括所有的补充、修改内容、重要事项、格式、条款等）。参选人没有按照比选文件要求提交全部资料，或者没有对比选文件在各方面都做出实质性响应是参选人的风险，有可能导致其参选被拒绝，或被认定为无效参选或被确定为</w:t>
      </w:r>
      <w:r>
        <w:rPr>
          <w:rFonts w:ascii="Times New Roman" w:hAnsi="Times New Roman" w:eastAsia="仿宋"/>
          <w:highlight w:val="none"/>
        </w:rPr>
        <w:t>参选</w:t>
      </w:r>
      <w:r>
        <w:rPr>
          <w:rFonts w:hint="eastAsia" w:ascii="Times New Roman" w:hAnsi="Times New Roman" w:eastAsia="仿宋"/>
          <w:highlight w:val="none"/>
        </w:rPr>
        <w:t>无效。</w:t>
      </w:r>
    </w:p>
    <w:p w14:paraId="32267317">
      <w:pPr>
        <w:pStyle w:val="3"/>
        <w:widowControl/>
        <w:spacing w:before="0" w:after="0" w:line="560" w:lineRule="exact"/>
        <w:ind w:left="576"/>
        <w:jc w:val="left"/>
        <w:rPr>
          <w:rFonts w:ascii="Times New Roman" w:hAnsi="Times New Roman" w:eastAsia="仿宋"/>
          <w:highlight w:val="none"/>
        </w:rPr>
      </w:pPr>
      <w:bookmarkStart w:id="69" w:name="_Toc18303"/>
      <w:bookmarkStart w:id="70" w:name="_Toc21119"/>
      <w:bookmarkStart w:id="71" w:name="_Toc91421091"/>
      <w:bookmarkStart w:id="72" w:name="_Toc5103"/>
      <w:bookmarkStart w:id="73" w:name="_Toc14585"/>
      <w:bookmarkStart w:id="74" w:name="_Toc2255"/>
      <w:bookmarkStart w:id="75" w:name="_Toc23216"/>
      <w:bookmarkStart w:id="76" w:name="_Toc16314"/>
      <w:bookmarkStart w:id="77" w:name="_Toc29592"/>
      <w:bookmarkStart w:id="78" w:name="_Toc20398"/>
      <w:bookmarkStart w:id="79" w:name="_Toc2131"/>
      <w:bookmarkStart w:id="80" w:name="_Toc15299"/>
      <w:r>
        <w:rPr>
          <w:rFonts w:hint="eastAsia" w:ascii="Times New Roman" w:hAnsi="Times New Roman" w:eastAsia="仿宋"/>
          <w:highlight w:val="none"/>
        </w:rPr>
        <w:t>四、比选文件的澄清</w:t>
      </w:r>
      <w:bookmarkEnd w:id="69"/>
      <w:bookmarkEnd w:id="70"/>
      <w:bookmarkEnd w:id="71"/>
      <w:bookmarkEnd w:id="72"/>
      <w:bookmarkEnd w:id="73"/>
      <w:bookmarkEnd w:id="74"/>
      <w:bookmarkEnd w:id="75"/>
      <w:bookmarkEnd w:id="76"/>
      <w:bookmarkEnd w:id="77"/>
      <w:bookmarkEnd w:id="78"/>
      <w:bookmarkEnd w:id="79"/>
      <w:bookmarkEnd w:id="80"/>
    </w:p>
    <w:p w14:paraId="7EF11DA9">
      <w:pPr>
        <w:autoSpaceDE w:val="0"/>
        <w:autoSpaceDN w:val="0"/>
        <w:spacing w:line="560" w:lineRule="exact"/>
        <w:ind w:firstLine="480" w:firstLineChars="200"/>
        <w:rPr>
          <w:rFonts w:ascii="Times New Roman" w:hAnsi="Times New Roman" w:eastAsia="仿宋"/>
          <w:b/>
          <w:highlight w:val="none"/>
        </w:rPr>
      </w:pPr>
      <w:r>
        <w:rPr>
          <w:rFonts w:hint="eastAsia" w:ascii="Times New Roman" w:hAnsi="Times New Roman" w:eastAsia="仿宋"/>
          <w:highlight w:val="none"/>
        </w:rPr>
        <w:t>参选人获取比选文件后，应仔细检查比选文件的所有内容，如有残缺等问题应在获得比选文件之日起算的3日内（在该日的17：00以前）（例如，比选文件获得之日为</w:t>
      </w:r>
      <w:r>
        <w:rPr>
          <w:rFonts w:hint="eastAsia" w:ascii="Times New Roman" w:hAnsi="Times New Roman" w:eastAsia="仿宋"/>
          <w:highlight w:val="none"/>
          <w:lang w:val="en-US" w:eastAsia="zh-CN"/>
        </w:rPr>
        <w:t>11</w:t>
      </w:r>
      <w:r>
        <w:rPr>
          <w:rFonts w:hint="eastAsia" w:ascii="Times New Roman" w:hAnsi="Times New Roman" w:eastAsia="仿宋"/>
          <w:highlight w:val="none"/>
        </w:rPr>
        <w:t>月</w:t>
      </w:r>
      <w:r>
        <w:rPr>
          <w:rFonts w:hint="eastAsia" w:ascii="Times New Roman" w:hAnsi="Times New Roman" w:eastAsia="仿宋"/>
          <w:highlight w:val="none"/>
          <w:lang w:val="en-US" w:eastAsia="zh-CN"/>
        </w:rPr>
        <w:t>10</w:t>
      </w:r>
      <w:r>
        <w:rPr>
          <w:rFonts w:hint="eastAsia" w:ascii="Times New Roman" w:hAnsi="Times New Roman" w:eastAsia="仿宋"/>
          <w:highlight w:val="none"/>
        </w:rPr>
        <w:t>日，则最迟应在</w:t>
      </w:r>
      <w:r>
        <w:rPr>
          <w:rFonts w:hint="eastAsia" w:ascii="Times New Roman" w:hAnsi="Times New Roman" w:eastAsia="仿宋"/>
          <w:highlight w:val="none"/>
          <w:lang w:val="en-US" w:eastAsia="zh-CN"/>
        </w:rPr>
        <w:t>11</w:t>
      </w:r>
      <w:r>
        <w:rPr>
          <w:rFonts w:hint="eastAsia" w:ascii="Times New Roman" w:hAnsi="Times New Roman" w:eastAsia="仿宋"/>
          <w:highlight w:val="none"/>
        </w:rPr>
        <w:t>月</w:t>
      </w:r>
      <w:r>
        <w:rPr>
          <w:rFonts w:hint="eastAsia" w:ascii="Times New Roman" w:hAnsi="Times New Roman" w:eastAsia="仿宋"/>
          <w:highlight w:val="none"/>
          <w:lang w:val="en-US" w:eastAsia="zh-CN"/>
        </w:rPr>
        <w:t>12</w:t>
      </w:r>
      <w:r>
        <w:rPr>
          <w:rFonts w:hint="eastAsia" w:ascii="Times New Roman" w:hAnsi="Times New Roman" w:eastAsia="仿宋"/>
          <w:highlight w:val="none"/>
        </w:rPr>
        <w:t>日17:00）向比选人提出。参选人若对比选文件有任何疑问，应在参选截止时间届满之日起算提前3日（在该日的17：00以前）（例如，参选截止日为</w:t>
      </w:r>
      <w:r>
        <w:rPr>
          <w:rFonts w:hint="eastAsia" w:ascii="Times New Roman" w:hAnsi="Times New Roman" w:eastAsia="仿宋"/>
          <w:highlight w:val="none"/>
          <w:lang w:val="en-US" w:eastAsia="zh-CN"/>
        </w:rPr>
        <w:t>11</w:t>
      </w:r>
      <w:r>
        <w:rPr>
          <w:rFonts w:hint="eastAsia" w:ascii="Times New Roman" w:hAnsi="Times New Roman" w:eastAsia="仿宋"/>
          <w:highlight w:val="none"/>
        </w:rPr>
        <w:t>月</w:t>
      </w:r>
      <w:r>
        <w:rPr>
          <w:rFonts w:hint="eastAsia" w:ascii="Times New Roman" w:hAnsi="Times New Roman" w:eastAsia="仿宋"/>
          <w:highlight w:val="none"/>
          <w:lang w:val="en-US" w:eastAsia="zh-CN"/>
        </w:rPr>
        <w:t>15</w:t>
      </w:r>
      <w:r>
        <w:rPr>
          <w:rFonts w:hint="eastAsia" w:ascii="Times New Roman" w:hAnsi="Times New Roman" w:eastAsia="仿宋"/>
          <w:highlight w:val="none"/>
        </w:rPr>
        <w:t>日，则最迟应在</w:t>
      </w:r>
      <w:r>
        <w:rPr>
          <w:rFonts w:hint="eastAsia" w:ascii="Times New Roman" w:hAnsi="Times New Roman" w:eastAsia="仿宋"/>
          <w:highlight w:val="none"/>
          <w:lang w:val="en-US" w:eastAsia="zh-CN"/>
        </w:rPr>
        <w:t>11</w:t>
      </w:r>
      <w:r>
        <w:rPr>
          <w:rFonts w:hint="eastAsia" w:ascii="Times New Roman" w:hAnsi="Times New Roman" w:eastAsia="仿宋"/>
          <w:highlight w:val="none"/>
        </w:rPr>
        <w:t>月</w:t>
      </w:r>
      <w:r>
        <w:rPr>
          <w:rFonts w:hint="eastAsia" w:ascii="Times New Roman" w:hAnsi="Times New Roman" w:eastAsia="仿宋"/>
          <w:highlight w:val="none"/>
          <w:lang w:val="en-US" w:eastAsia="zh-CN"/>
        </w:rPr>
        <w:t>12</w:t>
      </w:r>
      <w:r>
        <w:rPr>
          <w:rFonts w:hint="eastAsia" w:ascii="Times New Roman" w:hAnsi="Times New Roman" w:eastAsia="仿宋"/>
          <w:highlight w:val="none"/>
        </w:rPr>
        <w:t>日17:00），按参选须知载明的地址以书面形式（包括书面、电子邮件下同）通知到比选人。比选人将视情况确定采用适当方式予以澄清或以书面形式予以答复，澄清文件作为比选文件的组成部分，具有法律约束力。</w:t>
      </w:r>
    </w:p>
    <w:p w14:paraId="4FE337B2">
      <w:pPr>
        <w:pStyle w:val="3"/>
        <w:widowControl/>
        <w:spacing w:before="0" w:after="0" w:line="560" w:lineRule="exact"/>
        <w:ind w:left="576"/>
        <w:jc w:val="left"/>
        <w:rPr>
          <w:rFonts w:ascii="Times New Roman" w:hAnsi="Times New Roman" w:eastAsia="仿宋"/>
          <w:highlight w:val="none"/>
        </w:rPr>
      </w:pPr>
      <w:bookmarkStart w:id="81" w:name="_Toc13812"/>
      <w:bookmarkStart w:id="82" w:name="_Toc20412"/>
      <w:bookmarkStart w:id="83" w:name="_Toc11587"/>
      <w:bookmarkStart w:id="84" w:name="_Toc21923"/>
      <w:bookmarkStart w:id="85" w:name="_Toc31950"/>
      <w:bookmarkStart w:id="86" w:name="_Toc3777"/>
      <w:bookmarkStart w:id="87" w:name="_Toc20490"/>
      <w:bookmarkStart w:id="88" w:name="_Toc20463"/>
      <w:bookmarkStart w:id="89" w:name="_Toc91421092"/>
      <w:bookmarkStart w:id="90" w:name="_Toc30653"/>
      <w:bookmarkStart w:id="91" w:name="_Toc11322"/>
      <w:bookmarkStart w:id="92" w:name="_Toc18013"/>
      <w:r>
        <w:rPr>
          <w:rFonts w:hint="eastAsia" w:ascii="Times New Roman" w:hAnsi="Times New Roman" w:eastAsia="仿宋"/>
          <w:highlight w:val="none"/>
        </w:rPr>
        <w:t>五、比选文件的修改、补充</w:t>
      </w:r>
      <w:bookmarkEnd w:id="81"/>
      <w:bookmarkEnd w:id="82"/>
      <w:bookmarkEnd w:id="83"/>
      <w:bookmarkEnd w:id="84"/>
      <w:bookmarkEnd w:id="85"/>
      <w:bookmarkEnd w:id="86"/>
      <w:bookmarkEnd w:id="87"/>
      <w:bookmarkEnd w:id="88"/>
      <w:bookmarkEnd w:id="89"/>
      <w:bookmarkEnd w:id="90"/>
      <w:bookmarkEnd w:id="91"/>
      <w:bookmarkEnd w:id="92"/>
    </w:p>
    <w:p w14:paraId="6265A67C">
      <w:pPr>
        <w:numPr>
          <w:ilvl w:val="0"/>
          <w:numId w:val="5"/>
        </w:numPr>
        <w:autoSpaceDE w:val="0"/>
        <w:autoSpaceDN w:val="0"/>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rPr>
        <w:t>在参选截止日期前，比选人可主动或依据参选人要求澄清的问题而修改比选文件，并在官网上发布对应通知，各参选人默认收到比选文件修改通知。</w:t>
      </w:r>
    </w:p>
    <w:p w14:paraId="69539674">
      <w:pPr>
        <w:numPr>
          <w:ilvl w:val="0"/>
          <w:numId w:val="5"/>
        </w:numPr>
        <w:autoSpaceDE w:val="0"/>
        <w:autoSpaceDN w:val="0"/>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rPr>
        <w:t>为使参选人在准备参选文件时有合理的时间考虑比选文件的修改，比选人可酌情推迟参选截止时间和开选时间，并在官网上发布通知。</w:t>
      </w:r>
    </w:p>
    <w:p w14:paraId="23D9D6C0">
      <w:pPr>
        <w:numPr>
          <w:ilvl w:val="0"/>
          <w:numId w:val="5"/>
        </w:numPr>
        <w:autoSpaceDE w:val="0"/>
        <w:autoSpaceDN w:val="0"/>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rPr>
        <w:t>比选文件的修改书将构成比选文件的一部分，对参选人具有法律约束力。</w:t>
      </w:r>
    </w:p>
    <w:p w14:paraId="3BEAD039">
      <w:pPr>
        <w:pStyle w:val="3"/>
        <w:widowControl/>
        <w:spacing w:before="0" w:after="0" w:line="560" w:lineRule="exact"/>
        <w:ind w:left="576"/>
        <w:jc w:val="left"/>
        <w:rPr>
          <w:rFonts w:ascii="Times New Roman" w:hAnsi="Times New Roman" w:eastAsia="仿宋"/>
          <w:highlight w:val="none"/>
        </w:rPr>
      </w:pPr>
      <w:bookmarkStart w:id="93" w:name="_Toc9517"/>
      <w:bookmarkStart w:id="94" w:name="_Toc8272"/>
      <w:bookmarkStart w:id="95" w:name="_Toc1345"/>
      <w:bookmarkStart w:id="96" w:name="_Toc7078"/>
      <w:bookmarkStart w:id="97" w:name="_Toc30601"/>
      <w:bookmarkStart w:id="98" w:name="_Toc30092"/>
      <w:bookmarkStart w:id="99" w:name="_Toc15747"/>
      <w:bookmarkStart w:id="100" w:name="_Toc4496"/>
      <w:bookmarkStart w:id="101" w:name="_Toc8686"/>
      <w:bookmarkStart w:id="102" w:name="_Toc23519"/>
      <w:bookmarkStart w:id="103" w:name="_Toc9924"/>
      <w:bookmarkStart w:id="104" w:name="_Toc91421093"/>
      <w:r>
        <w:rPr>
          <w:rFonts w:hint="eastAsia" w:ascii="Times New Roman" w:hAnsi="Times New Roman" w:eastAsia="仿宋"/>
          <w:highlight w:val="none"/>
        </w:rPr>
        <w:t>六、参选人资格</w:t>
      </w:r>
      <w:bookmarkEnd w:id="93"/>
      <w:bookmarkEnd w:id="94"/>
      <w:bookmarkEnd w:id="95"/>
      <w:bookmarkEnd w:id="96"/>
      <w:bookmarkEnd w:id="97"/>
      <w:bookmarkEnd w:id="98"/>
      <w:bookmarkEnd w:id="99"/>
      <w:bookmarkEnd w:id="100"/>
      <w:bookmarkEnd w:id="101"/>
      <w:bookmarkEnd w:id="102"/>
      <w:bookmarkEnd w:id="103"/>
      <w:bookmarkEnd w:id="104"/>
    </w:p>
    <w:p w14:paraId="08AE4C81">
      <w:pPr>
        <w:autoSpaceDE w:val="0"/>
        <w:autoSpaceDN w:val="0"/>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rPr>
        <w:t>除本比选文件第一章“比选公告”第一条规定外，参选人还应具备以下资格：</w:t>
      </w:r>
    </w:p>
    <w:p w14:paraId="7944AC8E">
      <w:pPr>
        <w:numPr>
          <w:ilvl w:val="0"/>
          <w:numId w:val="6"/>
        </w:numPr>
        <w:autoSpaceDE w:val="0"/>
        <w:autoSpaceDN w:val="0"/>
        <w:spacing w:line="560" w:lineRule="exact"/>
        <w:ind w:firstLine="480" w:firstLineChars="200"/>
        <w:jc w:val="both"/>
        <w:rPr>
          <w:rFonts w:ascii="Times New Roman" w:hAnsi="Times New Roman" w:eastAsia="仿宋"/>
          <w:highlight w:val="none"/>
        </w:rPr>
      </w:pPr>
      <w:r>
        <w:rPr>
          <w:rFonts w:hint="eastAsia" w:ascii="Times New Roman" w:hAnsi="Times New Roman" w:eastAsia="仿宋"/>
          <w:highlight w:val="none"/>
        </w:rPr>
        <w:t>近3年内没有骗取中选、中标或严重违约等其它不良记录，无安全事故，参选时没有处于被责令停业，财产被接管、冻结，破产状态内</w:t>
      </w:r>
      <w:r>
        <w:rPr>
          <w:rFonts w:hint="eastAsia" w:ascii="Times New Roman" w:hAnsi="Times New Roman" w:eastAsia="仿宋" w:cs="仿宋"/>
          <w:color w:val="000000"/>
          <w:highlight w:val="none"/>
        </w:rPr>
        <w:t>或其他丧失履约能力的情形</w:t>
      </w:r>
      <w:r>
        <w:rPr>
          <w:rFonts w:hint="eastAsia" w:ascii="Times New Roman" w:hAnsi="Times New Roman" w:eastAsia="仿宋"/>
          <w:highlight w:val="none"/>
        </w:rPr>
        <w:t>，以及可能影响到合同履行的其他问题，也不存在按照国家法律规定须对本项目回避的情况。</w:t>
      </w:r>
    </w:p>
    <w:p w14:paraId="5968D4EE">
      <w:pPr>
        <w:numPr>
          <w:ilvl w:val="0"/>
          <w:numId w:val="6"/>
        </w:numPr>
        <w:autoSpaceDE w:val="0"/>
        <w:autoSpaceDN w:val="0"/>
        <w:spacing w:line="560" w:lineRule="exact"/>
        <w:ind w:firstLine="480" w:firstLineChars="200"/>
        <w:jc w:val="both"/>
        <w:rPr>
          <w:rFonts w:ascii="Times New Roman" w:hAnsi="Times New Roman" w:eastAsia="仿宋"/>
          <w:highlight w:val="none"/>
        </w:rPr>
      </w:pPr>
      <w:r>
        <w:rPr>
          <w:rFonts w:hint="eastAsia" w:ascii="Times New Roman" w:hAnsi="Times New Roman" w:eastAsia="仿宋"/>
          <w:highlight w:val="none"/>
        </w:rPr>
        <w:t>参选人应具有履行合同的相关能力，参选人如中选，在结算时必须提供与参选人签章处单位名称一致的全额增值税专用发票,对于使用非本公司发票的，比选人有权拒绝付款直至解除与其签订的合同。</w:t>
      </w:r>
    </w:p>
    <w:p w14:paraId="012D2196">
      <w:pPr>
        <w:pStyle w:val="3"/>
        <w:spacing w:before="0" w:after="0" w:line="560" w:lineRule="exact"/>
        <w:ind w:firstLine="643" w:firstLineChars="200"/>
        <w:rPr>
          <w:rFonts w:ascii="Times New Roman" w:hAnsi="Times New Roman" w:eastAsia="仿宋"/>
          <w:highlight w:val="none"/>
        </w:rPr>
      </w:pPr>
      <w:bookmarkStart w:id="105" w:name="_Toc18769"/>
      <w:bookmarkStart w:id="106" w:name="_Toc2132"/>
      <w:bookmarkStart w:id="107" w:name="_Toc22043"/>
      <w:bookmarkStart w:id="108" w:name="_Toc6697"/>
      <w:bookmarkStart w:id="109" w:name="_Toc21247"/>
      <w:bookmarkStart w:id="110" w:name="_Toc11175"/>
      <w:bookmarkStart w:id="111" w:name="_Toc30063"/>
      <w:bookmarkStart w:id="112" w:name="_Toc3023"/>
      <w:bookmarkStart w:id="113" w:name="_Toc6832"/>
      <w:bookmarkStart w:id="114" w:name="_Toc13252"/>
      <w:bookmarkStart w:id="115" w:name="_Toc14654"/>
      <w:r>
        <w:rPr>
          <w:rFonts w:hint="eastAsia" w:ascii="Times New Roman" w:hAnsi="Times New Roman" w:eastAsia="仿宋"/>
          <w:highlight w:val="none"/>
          <w:lang w:val="en-US" w:eastAsia="zh-CN"/>
        </w:rPr>
        <w:t>七</w:t>
      </w:r>
      <w:r>
        <w:rPr>
          <w:rFonts w:hint="eastAsia" w:ascii="Times New Roman" w:hAnsi="Times New Roman" w:eastAsia="仿宋"/>
          <w:highlight w:val="none"/>
        </w:rPr>
        <w:t>、参选文件的递交</w:t>
      </w:r>
      <w:bookmarkEnd w:id="105"/>
      <w:bookmarkEnd w:id="106"/>
      <w:bookmarkEnd w:id="107"/>
      <w:bookmarkEnd w:id="108"/>
      <w:bookmarkEnd w:id="109"/>
      <w:bookmarkEnd w:id="110"/>
      <w:bookmarkEnd w:id="111"/>
      <w:bookmarkEnd w:id="112"/>
      <w:bookmarkEnd w:id="113"/>
      <w:bookmarkEnd w:id="114"/>
      <w:bookmarkEnd w:id="115"/>
    </w:p>
    <w:p w14:paraId="1E0E5F93">
      <w:pPr>
        <w:numPr>
          <w:ilvl w:val="0"/>
          <w:numId w:val="7"/>
        </w:numPr>
        <w:autoSpaceDE w:val="0"/>
        <w:autoSpaceDN w:val="0"/>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rPr>
        <w:t>参选文件的密封和标记：参选人应将参选文件正本和所有的副本分开密封装在信封中，且在信封上标明“正本”“副本”字样。参选人应编制参选文件一式</w:t>
      </w:r>
      <w:r>
        <w:rPr>
          <w:rFonts w:hint="eastAsia" w:ascii="Times New Roman" w:hAnsi="Times New Roman" w:eastAsia="仿宋"/>
          <w:highlight w:val="none"/>
          <w:lang w:val="en-US" w:eastAsia="zh-CN"/>
        </w:rPr>
        <w:t>贰</w:t>
      </w:r>
      <w:r>
        <w:rPr>
          <w:rFonts w:hint="eastAsia" w:ascii="Times New Roman" w:hAnsi="Times New Roman" w:eastAsia="仿宋"/>
          <w:highlight w:val="none"/>
        </w:rPr>
        <w:t>份，其中正本一份和副本</w:t>
      </w:r>
      <w:r>
        <w:rPr>
          <w:rFonts w:hint="eastAsia" w:ascii="Times New Roman" w:hAnsi="Times New Roman" w:eastAsia="仿宋"/>
          <w:highlight w:val="none"/>
          <w:lang w:val="en-US" w:eastAsia="zh-CN"/>
        </w:rPr>
        <w:t>一</w:t>
      </w:r>
      <w:r>
        <w:rPr>
          <w:rFonts w:hint="eastAsia" w:ascii="Times New Roman" w:hAnsi="Times New Roman" w:eastAsia="仿宋"/>
          <w:highlight w:val="none"/>
        </w:rPr>
        <w:t>份，参选文件电子版一份。参选文件密封封口处须加盖参选人公章，否则其参选将被拒绝。</w:t>
      </w:r>
    </w:p>
    <w:p w14:paraId="2E92BA32">
      <w:pPr>
        <w:numPr>
          <w:ilvl w:val="0"/>
          <w:numId w:val="7"/>
        </w:numPr>
        <w:autoSpaceDE w:val="0"/>
        <w:autoSpaceDN w:val="0"/>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lang w:val="en-US" w:eastAsia="zh-CN"/>
        </w:rPr>
        <w:t>参选</w:t>
      </w:r>
      <w:r>
        <w:rPr>
          <w:rFonts w:hint="eastAsia" w:ascii="Times New Roman" w:hAnsi="Times New Roman" w:eastAsia="仿宋"/>
          <w:highlight w:val="none"/>
        </w:rPr>
        <w:t>文件递交的截止时间：</w:t>
      </w:r>
      <w:r>
        <w:rPr>
          <w:rFonts w:hint="eastAsia" w:ascii="Times New Roman" w:hAnsi="Times New Roman" w:eastAsia="仿宋"/>
          <w:highlight w:val="none"/>
          <w:lang w:val="en-US" w:eastAsia="zh-CN"/>
        </w:rPr>
        <w:t xml:space="preserve">2025 </w:t>
      </w:r>
      <w:r>
        <w:rPr>
          <w:rFonts w:hint="eastAsia" w:ascii="Times New Roman" w:hAnsi="Times New Roman" w:eastAsia="仿宋"/>
          <w:highlight w:val="none"/>
        </w:rPr>
        <w:t>年</w:t>
      </w:r>
      <w:r>
        <w:rPr>
          <w:rFonts w:hint="eastAsia" w:ascii="Times New Roman" w:hAnsi="Times New Roman" w:eastAsia="仿宋"/>
          <w:highlight w:val="none"/>
          <w:lang w:val="en-US" w:eastAsia="zh-CN"/>
        </w:rPr>
        <w:t xml:space="preserve"> 6 </w:t>
      </w:r>
      <w:r>
        <w:rPr>
          <w:rFonts w:hint="eastAsia" w:ascii="Times New Roman" w:hAnsi="Times New Roman" w:eastAsia="仿宋"/>
          <w:highlight w:val="none"/>
        </w:rPr>
        <w:t>月</w:t>
      </w:r>
      <w:r>
        <w:rPr>
          <w:rFonts w:hint="eastAsia" w:ascii="Times New Roman" w:hAnsi="Times New Roman" w:eastAsia="仿宋"/>
          <w:highlight w:val="none"/>
          <w:lang w:val="en-US" w:eastAsia="zh-CN"/>
        </w:rPr>
        <w:t>25</w:t>
      </w:r>
      <w:r>
        <w:rPr>
          <w:rFonts w:hint="eastAsia" w:ascii="Times New Roman" w:hAnsi="Times New Roman" w:eastAsia="仿宋"/>
          <w:highlight w:val="none"/>
        </w:rPr>
        <w:t>日</w:t>
      </w:r>
      <w:r>
        <w:rPr>
          <w:rFonts w:hint="eastAsia" w:ascii="Times New Roman" w:hAnsi="Times New Roman" w:eastAsia="仿宋"/>
          <w:highlight w:val="none"/>
          <w:lang w:val="en-US" w:eastAsia="zh-CN"/>
        </w:rPr>
        <w:t>9:00</w:t>
      </w:r>
      <w:r>
        <w:rPr>
          <w:rFonts w:hint="eastAsia" w:ascii="Times New Roman" w:hAnsi="Times New Roman" w:eastAsia="仿宋"/>
          <w:highlight w:val="none"/>
        </w:rPr>
        <w:t>前。</w:t>
      </w:r>
    </w:p>
    <w:p w14:paraId="20BB08F3">
      <w:pPr>
        <w:numPr>
          <w:ilvl w:val="0"/>
          <w:numId w:val="7"/>
        </w:numPr>
        <w:tabs>
          <w:tab w:val="left" w:pos="8598"/>
        </w:tabs>
        <w:autoSpaceDE w:val="0"/>
        <w:autoSpaceDN w:val="0"/>
        <w:spacing w:line="560" w:lineRule="exact"/>
        <w:ind w:firstLine="480" w:firstLineChars="200"/>
        <w:rPr>
          <w:rFonts w:ascii="Times New Roman" w:hAnsi="Times New Roman" w:eastAsia="仿宋"/>
          <w:highlight w:val="none"/>
        </w:rPr>
      </w:pPr>
      <w:r>
        <w:rPr>
          <w:rFonts w:hint="eastAsia" w:ascii="Times New Roman" w:hAnsi="Times New Roman" w:eastAsia="仿宋"/>
          <w:highlight w:val="none"/>
        </w:rPr>
        <w:t>提交参选文件的地点为：福建省福州市晋安区塔头路396号福建能源石化大厦15层，福建省能源石化信息科技有限责任公司；联系人：詹先生，联系电话：</w:t>
      </w:r>
      <w:r>
        <w:rPr>
          <w:rFonts w:hint="eastAsia" w:ascii="Times New Roman" w:hAnsi="Times New Roman" w:eastAsia="仿宋" w:cs="仿宋"/>
          <w:highlight w:val="none"/>
          <w:lang w:val="zh-CN"/>
        </w:rPr>
        <w:t>0591-</w:t>
      </w:r>
      <w:r>
        <w:rPr>
          <w:rFonts w:hint="eastAsia" w:ascii="Times New Roman" w:hAnsi="Times New Roman" w:eastAsia="仿宋" w:cs="仿宋"/>
          <w:highlight w:val="none"/>
        </w:rPr>
        <w:t>23410711</w:t>
      </w:r>
      <w:r>
        <w:rPr>
          <w:rFonts w:hint="eastAsia" w:ascii="Times New Roman" w:hAnsi="Times New Roman" w:eastAsia="仿宋"/>
          <w:highlight w:val="none"/>
        </w:rPr>
        <w:t>。</w:t>
      </w:r>
    </w:p>
    <w:p w14:paraId="71A76300">
      <w:pPr>
        <w:numPr>
          <w:ilvl w:val="0"/>
          <w:numId w:val="7"/>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只允许参选人有一个参选方案，否则将被视为无效参选。</w:t>
      </w:r>
    </w:p>
    <w:p w14:paraId="298BA73C">
      <w:pPr>
        <w:numPr>
          <w:ilvl w:val="0"/>
          <w:numId w:val="7"/>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逾期送达的或未送达指定地点或参选文件密封不符合规定要求的参选文件，比选人不予受理。参选人所提交的比选文件在评选结束后，无论中选与否都不退还。</w:t>
      </w:r>
    </w:p>
    <w:p w14:paraId="565A7823">
      <w:pPr>
        <w:numPr>
          <w:ilvl w:val="0"/>
          <w:numId w:val="7"/>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参选人收到比选文件后，如有疑问需要澄清，应以书面形式在规定时间内报比选人。</w:t>
      </w:r>
    </w:p>
    <w:p w14:paraId="4DED2B68">
      <w:pPr>
        <w:numPr>
          <w:ilvl w:val="0"/>
          <w:numId w:val="7"/>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参选人对比选人提供的比选文件所做出的推论、解释和结论，比选人概不负责。参选人由于对比选文件的任何推论和误解以及比选对有关问题的口头解释所造成的后果，均由参选人负责。</w:t>
      </w:r>
    </w:p>
    <w:p w14:paraId="01A29DEE">
      <w:pPr>
        <w:autoSpaceDE w:val="0"/>
        <w:autoSpaceDN w:val="0"/>
        <w:spacing w:line="560" w:lineRule="exact"/>
        <w:rPr>
          <w:rFonts w:ascii="Times New Roman" w:hAnsi="Times New Roman" w:eastAsia="仿宋"/>
        </w:rPr>
      </w:pPr>
    </w:p>
    <w:p w14:paraId="33ABBDDA">
      <w:pPr>
        <w:pStyle w:val="2"/>
        <w:spacing w:line="560" w:lineRule="exact"/>
        <w:ind w:firstLine="422"/>
        <w:jc w:val="center"/>
        <w:rPr>
          <w:rFonts w:eastAsia="仿宋" w:cs="宋体"/>
          <w:caps w:val="0"/>
          <w:sz w:val="44"/>
          <w:szCs w:val="44"/>
          <w:u w:val="none"/>
          <w:lang w:eastAsia="zh-CN"/>
        </w:rPr>
      </w:pPr>
      <w:r>
        <w:rPr>
          <w:rFonts w:eastAsia="仿宋"/>
          <w:caps w:val="0"/>
          <w:szCs w:val="24"/>
          <w:lang w:eastAsia="zh-CN"/>
        </w:rPr>
        <w:br w:type="page"/>
      </w:r>
      <w:bookmarkStart w:id="116" w:name="_Toc31192"/>
      <w:bookmarkStart w:id="117" w:name="_Toc91421094"/>
      <w:bookmarkStart w:id="118" w:name="_Toc6833"/>
      <w:bookmarkStart w:id="119" w:name="_Toc15368"/>
      <w:bookmarkStart w:id="120" w:name="_Toc3240"/>
      <w:bookmarkStart w:id="121" w:name="_Toc638"/>
      <w:bookmarkStart w:id="122" w:name="_Toc15305"/>
      <w:bookmarkStart w:id="123" w:name="_Toc16679"/>
      <w:bookmarkStart w:id="124" w:name="_Toc20993"/>
      <w:bookmarkStart w:id="125" w:name="_Toc9353"/>
      <w:bookmarkStart w:id="126" w:name="_Toc29407"/>
      <w:bookmarkStart w:id="127" w:name="_Toc14351"/>
      <w:r>
        <w:rPr>
          <w:rFonts w:eastAsia="仿宋" w:cs="宋体"/>
          <w:caps w:val="0"/>
          <w:sz w:val="44"/>
          <w:szCs w:val="44"/>
          <w:u w:val="none"/>
          <w:lang w:eastAsia="zh-CN"/>
        </w:rPr>
        <w:t>第</w:t>
      </w:r>
      <w:r>
        <w:rPr>
          <w:rFonts w:hint="eastAsia" w:eastAsia="仿宋" w:cs="宋体"/>
          <w:caps w:val="0"/>
          <w:sz w:val="44"/>
          <w:szCs w:val="44"/>
          <w:u w:val="none"/>
          <w:lang w:eastAsia="zh-CN"/>
        </w:rPr>
        <w:t>三</w:t>
      </w:r>
      <w:r>
        <w:rPr>
          <w:rFonts w:eastAsia="仿宋" w:cs="宋体"/>
          <w:caps w:val="0"/>
          <w:sz w:val="44"/>
          <w:szCs w:val="44"/>
          <w:u w:val="none"/>
          <w:lang w:eastAsia="zh-CN"/>
        </w:rPr>
        <w:t xml:space="preserve">章 </w:t>
      </w:r>
      <w:r>
        <w:rPr>
          <w:rFonts w:hint="eastAsia" w:eastAsia="仿宋" w:cs="宋体"/>
          <w:caps w:val="0"/>
          <w:sz w:val="44"/>
          <w:szCs w:val="44"/>
          <w:u w:val="none"/>
          <w:lang w:eastAsia="zh-CN"/>
        </w:rPr>
        <w:t>项目</w:t>
      </w:r>
      <w:bookmarkEnd w:id="116"/>
      <w:r>
        <w:rPr>
          <w:rFonts w:hint="eastAsia" w:eastAsia="仿宋" w:cs="宋体"/>
          <w:caps w:val="0"/>
          <w:sz w:val="44"/>
          <w:szCs w:val="44"/>
          <w:u w:val="none"/>
          <w:lang w:eastAsia="zh-CN"/>
        </w:rPr>
        <w:t>概况</w:t>
      </w:r>
      <w:bookmarkEnd w:id="117"/>
      <w:bookmarkEnd w:id="118"/>
      <w:bookmarkEnd w:id="119"/>
      <w:bookmarkEnd w:id="120"/>
      <w:bookmarkEnd w:id="121"/>
      <w:bookmarkEnd w:id="122"/>
      <w:bookmarkEnd w:id="123"/>
      <w:bookmarkEnd w:id="124"/>
      <w:bookmarkEnd w:id="125"/>
      <w:bookmarkEnd w:id="126"/>
      <w:bookmarkEnd w:id="127"/>
    </w:p>
    <w:p w14:paraId="1397B87F">
      <w:pPr>
        <w:pStyle w:val="3"/>
        <w:widowControl/>
        <w:spacing w:before="0" w:after="0" w:line="560" w:lineRule="exact"/>
        <w:ind w:left="576"/>
        <w:jc w:val="left"/>
        <w:rPr>
          <w:rFonts w:ascii="Times New Roman" w:hAnsi="Times New Roman" w:eastAsia="仿宋"/>
        </w:rPr>
      </w:pPr>
      <w:bookmarkStart w:id="128" w:name="_Toc3904"/>
      <w:bookmarkStart w:id="129" w:name="_Toc9479"/>
      <w:bookmarkStart w:id="130" w:name="_Toc15104"/>
      <w:bookmarkStart w:id="131" w:name="_Toc8500"/>
      <w:bookmarkStart w:id="132" w:name="_Toc6246"/>
      <w:bookmarkStart w:id="133" w:name="_Toc29865"/>
      <w:bookmarkStart w:id="134" w:name="_Toc91421095"/>
      <w:bookmarkStart w:id="135" w:name="_Toc19389"/>
      <w:bookmarkStart w:id="136" w:name="_Toc12823"/>
      <w:bookmarkStart w:id="137" w:name="_Toc26815"/>
      <w:bookmarkStart w:id="138" w:name="_Toc21080"/>
      <w:bookmarkStart w:id="139" w:name="_Toc19294"/>
      <w:r>
        <w:rPr>
          <w:rFonts w:hint="eastAsia" w:ascii="Times New Roman" w:hAnsi="Times New Roman" w:eastAsia="仿宋"/>
        </w:rPr>
        <w:t>一、集团简介</w:t>
      </w:r>
      <w:bookmarkEnd w:id="128"/>
      <w:bookmarkEnd w:id="129"/>
      <w:bookmarkEnd w:id="130"/>
      <w:bookmarkEnd w:id="131"/>
      <w:bookmarkEnd w:id="132"/>
      <w:bookmarkEnd w:id="133"/>
      <w:bookmarkEnd w:id="134"/>
      <w:bookmarkEnd w:id="135"/>
      <w:bookmarkEnd w:id="136"/>
      <w:bookmarkEnd w:id="137"/>
      <w:bookmarkEnd w:id="138"/>
      <w:bookmarkEnd w:id="139"/>
    </w:p>
    <w:p w14:paraId="4E7EA58A">
      <w:pPr>
        <w:pStyle w:val="15"/>
        <w:spacing w:before="0" w:beforeAutospacing="0" w:after="0" w:afterAutospacing="0" w:line="560" w:lineRule="exact"/>
        <w:ind w:firstLine="480" w:firstLineChars="200"/>
        <w:jc w:val="both"/>
        <w:rPr>
          <w:rFonts w:hint="eastAsia" w:ascii="Times New Roman" w:hAnsi="Times New Roman" w:eastAsia="仿宋"/>
        </w:rPr>
      </w:pPr>
      <w:r>
        <w:rPr>
          <w:rFonts w:hint="eastAsia" w:ascii="Times New Roman" w:hAnsi="Times New Roman" w:eastAsia="仿宋"/>
        </w:rPr>
        <w:t xml:space="preserve"> </w:t>
      </w:r>
      <w:r>
        <w:rPr>
          <w:rFonts w:ascii="Times New Roman" w:hAnsi="Times New Roman" w:eastAsia="仿宋"/>
        </w:rPr>
        <w:t>2021年8月2</w:t>
      </w:r>
      <w:r>
        <w:rPr>
          <w:rFonts w:hint="eastAsia" w:ascii="Times New Roman" w:hAnsi="Times New Roman" w:eastAsia="仿宋"/>
        </w:rPr>
        <w:t>7</w:t>
      </w:r>
      <w:r>
        <w:rPr>
          <w:rFonts w:ascii="Times New Roman" w:hAnsi="Times New Roman" w:eastAsia="仿宋"/>
        </w:rPr>
        <w:t>日，</w:t>
      </w:r>
      <w:r>
        <w:rPr>
          <w:rFonts w:hint="eastAsia" w:ascii="Times New Roman" w:hAnsi="Times New Roman" w:eastAsia="仿宋"/>
        </w:rPr>
        <w:t>福建省能源集团有限责任公司（下简称“能源集团”）与福建石油化工集团有限责任公司（下简称“石化集团”）整合重组，福建省能源石化信息科技有限责任公司（下简称“福建省能化集团”）正式成立。重组后，能源集团、石化集团成建制划入福建省能化集团，集团资产总额逾1500亿元</w:t>
      </w:r>
      <w:r>
        <w:rPr>
          <w:rFonts w:ascii="Times New Roman" w:hAnsi="Times New Roman" w:eastAsia="仿宋"/>
        </w:rPr>
        <w:t>，成为我省能源、石化产业一体化的龙头企业</w:t>
      </w:r>
      <w:r>
        <w:rPr>
          <w:rFonts w:hint="eastAsia" w:ascii="Times New Roman" w:hAnsi="Times New Roman" w:eastAsia="仿宋"/>
        </w:rPr>
        <w:t>。</w:t>
      </w:r>
    </w:p>
    <w:p w14:paraId="34EA3D8A">
      <w:pPr>
        <w:pStyle w:val="15"/>
        <w:spacing w:before="0" w:beforeAutospacing="0" w:after="0" w:afterAutospacing="0" w:line="560" w:lineRule="exact"/>
        <w:ind w:firstLine="480" w:firstLineChars="200"/>
        <w:jc w:val="both"/>
        <w:rPr>
          <w:rFonts w:ascii="Times New Roman" w:hAnsi="Times New Roman" w:eastAsia="仿宋"/>
        </w:rPr>
      </w:pPr>
      <w:r>
        <w:rPr>
          <w:rFonts w:ascii="Times New Roman" w:hAnsi="Times New Roman" w:eastAsia="仿宋"/>
        </w:rPr>
        <w:t>福建省能源石化信息科技有限责任公司以</w:t>
      </w:r>
      <w:r>
        <w:rPr>
          <w:rFonts w:hint="eastAsia" w:ascii="Times New Roman" w:hAnsi="Times New Roman" w:eastAsia="仿宋"/>
        </w:rPr>
        <w:t>福建省能化集团</w:t>
      </w:r>
      <w:r>
        <w:rPr>
          <w:rFonts w:ascii="Times New Roman" w:hAnsi="Times New Roman" w:eastAsia="仿宋"/>
        </w:rPr>
        <w:t>信息中心为基础组建而成，于2024年1月12日正式注册成立</w:t>
      </w:r>
      <w:r>
        <w:rPr>
          <w:rFonts w:hint="eastAsia" w:ascii="Times New Roman" w:hAnsi="Times New Roman" w:eastAsia="仿宋"/>
        </w:rPr>
        <w:t>，属于福建省能化集团的全资子公司。</w:t>
      </w:r>
    </w:p>
    <w:p w14:paraId="7047212C">
      <w:pPr>
        <w:pStyle w:val="3"/>
        <w:widowControl/>
        <w:numPr>
          <w:ilvl w:val="0"/>
          <w:numId w:val="8"/>
        </w:numPr>
        <w:spacing w:before="0" w:after="0" w:line="560" w:lineRule="exact"/>
        <w:ind w:left="576"/>
        <w:jc w:val="left"/>
        <w:rPr>
          <w:rFonts w:hint="eastAsia" w:ascii="Times New Roman" w:hAnsi="Times New Roman" w:eastAsia="仿宋"/>
        </w:rPr>
      </w:pPr>
      <w:bookmarkStart w:id="140" w:name="_Toc798"/>
      <w:bookmarkStart w:id="141" w:name="_Toc1263"/>
      <w:bookmarkStart w:id="142" w:name="_Toc15132"/>
      <w:bookmarkStart w:id="143" w:name="_Toc21943"/>
      <w:bookmarkStart w:id="144" w:name="_Toc3172"/>
      <w:bookmarkStart w:id="145" w:name="_Toc23347"/>
      <w:bookmarkStart w:id="146" w:name="_Toc10039"/>
      <w:bookmarkStart w:id="147" w:name="_Toc10000"/>
      <w:bookmarkStart w:id="148" w:name="_Toc91421096"/>
      <w:bookmarkStart w:id="149" w:name="_Toc28339"/>
      <w:bookmarkStart w:id="150" w:name="_Toc32063"/>
      <w:bookmarkStart w:id="151" w:name="_Toc27872"/>
      <w:r>
        <w:rPr>
          <w:rFonts w:hint="eastAsia" w:ascii="Times New Roman" w:hAnsi="Times New Roman" w:eastAsia="仿宋"/>
        </w:rPr>
        <w:t>项目</w:t>
      </w:r>
      <w:bookmarkEnd w:id="140"/>
      <w:bookmarkEnd w:id="141"/>
      <w:r>
        <w:rPr>
          <w:rFonts w:hint="eastAsia" w:ascii="Times New Roman" w:hAnsi="Times New Roman" w:eastAsia="仿宋"/>
        </w:rPr>
        <w:t>概况</w:t>
      </w:r>
      <w:bookmarkEnd w:id="142"/>
    </w:p>
    <w:bookmarkEnd w:id="143"/>
    <w:bookmarkEnd w:id="144"/>
    <w:bookmarkEnd w:id="145"/>
    <w:bookmarkEnd w:id="146"/>
    <w:bookmarkEnd w:id="147"/>
    <w:bookmarkEnd w:id="148"/>
    <w:bookmarkEnd w:id="149"/>
    <w:bookmarkEnd w:id="150"/>
    <w:bookmarkEnd w:id="151"/>
    <w:p w14:paraId="23812C2F">
      <w:pPr>
        <w:pStyle w:val="15"/>
        <w:spacing w:before="0" w:beforeAutospacing="0" w:after="0" w:afterAutospacing="0" w:line="560" w:lineRule="exact"/>
        <w:ind w:firstLine="480" w:firstLineChars="200"/>
        <w:jc w:val="both"/>
        <w:rPr>
          <w:rFonts w:ascii="Times New Roman" w:hAnsi="Times New Roman" w:eastAsia="仿宋"/>
        </w:rPr>
      </w:pPr>
      <w:bookmarkStart w:id="152" w:name="_Toc15481"/>
      <w:bookmarkStart w:id="153" w:name="_Toc21238"/>
      <w:bookmarkStart w:id="154" w:name="_Toc20868"/>
      <w:bookmarkStart w:id="155" w:name="_Toc28075"/>
      <w:bookmarkStart w:id="156" w:name="_Toc25830"/>
      <w:bookmarkStart w:id="157" w:name="_Toc5887"/>
      <w:bookmarkStart w:id="158" w:name="_Toc6730"/>
      <w:bookmarkStart w:id="159" w:name="_Toc12791"/>
      <w:bookmarkStart w:id="160" w:name="_Toc91421102"/>
      <w:bookmarkStart w:id="161" w:name="_Toc486321058"/>
      <w:bookmarkStart w:id="162" w:name="_Toc12674"/>
      <w:bookmarkStart w:id="163" w:name="_Toc5979"/>
      <w:r>
        <w:rPr>
          <w:rFonts w:ascii="Times New Roman" w:hAnsi="Times New Roman" w:eastAsia="仿宋"/>
        </w:rPr>
        <w:t>本项目建设地点</w:t>
      </w:r>
      <w:r>
        <w:rPr>
          <w:rFonts w:hint="eastAsia" w:ascii="Times New Roman" w:hAnsi="Times New Roman" w:eastAsia="仿宋"/>
          <w:lang w:val="en-US" w:eastAsia="zh-CN"/>
        </w:rPr>
        <w:t>由比选人指定</w:t>
      </w:r>
      <w:r>
        <w:rPr>
          <w:rFonts w:hint="eastAsia" w:ascii="Times New Roman" w:hAnsi="Times New Roman" w:eastAsia="仿宋"/>
        </w:rPr>
        <w:t>，项目内容主要包括</w:t>
      </w:r>
      <w:r>
        <w:rPr>
          <w:rFonts w:hint="eastAsia" w:ascii="Times New Roman" w:hAnsi="Times New Roman" w:eastAsia="仿宋"/>
          <w:lang w:val="en-US" w:eastAsia="zh-CN"/>
        </w:rPr>
        <w:t>1套LED高清大屏、控制设备、配电柜、LED显示屏结构及安装、调试、运输</w:t>
      </w:r>
      <w:r>
        <w:rPr>
          <w:rFonts w:hint="eastAsia" w:ascii="Times New Roman" w:hAnsi="Times New Roman" w:eastAsia="仿宋"/>
        </w:rPr>
        <w:t>。</w:t>
      </w:r>
    </w:p>
    <w:p w14:paraId="374CF9DE">
      <w:pPr>
        <w:pStyle w:val="3"/>
        <w:widowControl/>
        <w:numPr>
          <w:ilvl w:val="0"/>
          <w:numId w:val="8"/>
        </w:numPr>
        <w:spacing w:before="0" w:after="0" w:line="560" w:lineRule="exact"/>
        <w:ind w:left="576"/>
        <w:jc w:val="left"/>
        <w:rPr>
          <w:rFonts w:hint="eastAsia" w:ascii="Times New Roman" w:hAnsi="Times New Roman" w:eastAsia="仿宋"/>
        </w:rPr>
      </w:pPr>
      <w:bookmarkStart w:id="164" w:name="_Toc8290"/>
      <w:r>
        <w:rPr>
          <w:rFonts w:hint="eastAsia" w:ascii="Times New Roman" w:hAnsi="Times New Roman" w:eastAsia="仿宋"/>
        </w:rPr>
        <w:t>比选内容及要求</w:t>
      </w:r>
      <w:bookmarkEnd w:id="152"/>
      <w:bookmarkEnd w:id="153"/>
      <w:bookmarkEnd w:id="164"/>
    </w:p>
    <w:p w14:paraId="43C083EC">
      <w:pPr>
        <w:pStyle w:val="15"/>
        <w:spacing w:before="0" w:beforeAutospacing="0" w:after="0" w:afterAutospacing="0" w:line="560" w:lineRule="exact"/>
        <w:ind w:firstLine="480" w:firstLineChars="200"/>
        <w:jc w:val="both"/>
        <w:rPr>
          <w:rFonts w:ascii="Times New Roman" w:hAnsi="Times New Roman" w:eastAsia="仿宋"/>
          <w:color w:val="000000"/>
          <w:highlight w:val="none"/>
        </w:rPr>
      </w:pPr>
      <w:r>
        <w:rPr>
          <w:rFonts w:hint="eastAsia" w:ascii="仿宋" w:hAnsi="仿宋" w:eastAsia="仿宋" w:cs="仿宋"/>
          <w:b w:val="0"/>
          <w:bCs/>
          <w:lang w:eastAsia="zh-CN"/>
        </w:rPr>
        <w:t>大屏显示系统建设项目</w:t>
      </w:r>
      <w:r>
        <w:rPr>
          <w:rFonts w:hint="eastAsia" w:ascii="Times New Roman" w:hAnsi="Times New Roman" w:eastAsia="仿宋"/>
          <w:color w:val="000000"/>
          <w:highlight w:val="none"/>
        </w:rPr>
        <w:t>本服务包最高限价不超过</w:t>
      </w:r>
      <w:r>
        <w:rPr>
          <w:rFonts w:hint="eastAsia" w:ascii="Times New Roman" w:hAnsi="Times New Roman" w:eastAsia="仿宋"/>
          <w:color w:val="000000"/>
          <w:highlight w:val="none"/>
          <w:lang w:val="en-US" w:eastAsia="zh-CN"/>
        </w:rPr>
        <w:t>14</w:t>
      </w:r>
      <w:r>
        <w:rPr>
          <w:rFonts w:hint="eastAsia" w:ascii="Times New Roman" w:hAnsi="Times New Roman" w:eastAsia="仿宋"/>
          <w:color w:val="000000"/>
          <w:highlight w:val="none"/>
        </w:rPr>
        <w:t>万元，比选人报价超过最高限价的视为无效报价。</w:t>
      </w:r>
    </w:p>
    <w:p w14:paraId="7F440926">
      <w:pPr>
        <w:pStyle w:val="15"/>
        <w:spacing w:before="0" w:beforeAutospacing="0" w:after="0" w:afterAutospacing="0" w:line="560" w:lineRule="exact"/>
        <w:ind w:firstLine="480" w:firstLineChars="200"/>
        <w:jc w:val="both"/>
        <w:rPr>
          <w:rFonts w:hint="eastAsia" w:ascii="Times New Roman" w:hAnsi="Times New Roman" w:eastAsia="仿宋"/>
          <w:color w:val="000000"/>
          <w:highlight w:val="none"/>
          <w:lang w:eastAsia="zh-CN"/>
        </w:rPr>
      </w:pPr>
      <w:r>
        <w:rPr>
          <w:rFonts w:hint="eastAsia" w:ascii="Times New Roman" w:hAnsi="Times New Roman" w:eastAsia="仿宋"/>
          <w:color w:val="000000"/>
          <w:highlight w:val="none"/>
        </w:rPr>
        <w:t>交货及安装周期：</w:t>
      </w:r>
      <w:r>
        <w:rPr>
          <w:rFonts w:hint="eastAsia" w:ascii="Times New Roman" w:hAnsi="Times New Roman" w:eastAsia="仿宋" w:cs="宋体"/>
          <w:color w:val="000000"/>
          <w:highlight w:val="none"/>
        </w:rPr>
        <w:t>合同生效之日起</w:t>
      </w:r>
      <w:r>
        <w:rPr>
          <w:rFonts w:hint="eastAsia" w:ascii="Times New Roman" w:hAnsi="Times New Roman" w:eastAsia="仿宋" w:cs="宋体"/>
          <w:color w:val="000000"/>
          <w:highlight w:val="none"/>
          <w:lang w:val="en-US" w:eastAsia="zh-CN"/>
        </w:rPr>
        <w:t>20</w:t>
      </w:r>
      <w:r>
        <w:rPr>
          <w:rFonts w:hint="eastAsia" w:ascii="Times New Roman" w:hAnsi="Times New Roman" w:eastAsia="仿宋" w:cs="宋体"/>
          <w:color w:val="000000"/>
          <w:highlight w:val="none"/>
        </w:rPr>
        <w:t>个日历日内完成设备到货、安装及调试</w:t>
      </w:r>
      <w:r>
        <w:rPr>
          <w:rFonts w:hint="eastAsia" w:ascii="Times New Roman" w:hAnsi="Times New Roman" w:eastAsia="仿宋" w:cs="宋体"/>
          <w:color w:val="000000"/>
          <w:highlight w:val="none"/>
          <w:lang w:eastAsia="zh-CN"/>
        </w:rPr>
        <w:t>。</w:t>
      </w:r>
    </w:p>
    <w:p w14:paraId="7AC2E654">
      <w:pPr>
        <w:pStyle w:val="15"/>
        <w:spacing w:before="0" w:beforeAutospacing="0" w:after="0" w:afterAutospacing="0" w:line="560" w:lineRule="exact"/>
        <w:ind w:firstLine="480" w:firstLineChars="200"/>
        <w:jc w:val="both"/>
        <w:rPr>
          <w:rFonts w:hint="eastAsia" w:ascii="Times New Roman" w:hAnsi="Times New Roman" w:eastAsia="仿宋" w:cs="宋体"/>
          <w:color w:val="000000"/>
          <w:highlight w:val="none"/>
        </w:rPr>
      </w:pPr>
      <w:r>
        <w:rPr>
          <w:rFonts w:hint="eastAsia" w:ascii="Times New Roman" w:hAnsi="Times New Roman" w:eastAsia="仿宋" w:cs="宋体"/>
          <w:color w:val="000000"/>
          <w:highlight w:val="none"/>
        </w:rPr>
        <w:t>标注★号为实质性条款（共</w:t>
      </w:r>
      <w:r>
        <w:rPr>
          <w:rFonts w:hint="eastAsia" w:ascii="Times New Roman" w:hAnsi="Times New Roman" w:eastAsia="仿宋" w:cs="宋体"/>
          <w:color w:val="000000"/>
          <w:highlight w:val="none"/>
          <w:lang w:val="en-US" w:eastAsia="zh-CN"/>
        </w:rPr>
        <w:t>3</w:t>
      </w:r>
      <w:r>
        <w:rPr>
          <w:rFonts w:hint="eastAsia" w:ascii="Times New Roman" w:hAnsi="Times New Roman" w:eastAsia="仿宋" w:cs="宋体"/>
          <w:color w:val="000000"/>
          <w:highlight w:val="none"/>
        </w:rPr>
        <w:t>项），任一项负偏离的为无效投标；</w:t>
      </w:r>
    </w:p>
    <w:p w14:paraId="3EA11161">
      <w:pPr>
        <w:pStyle w:val="15"/>
        <w:spacing w:before="0" w:beforeAutospacing="0" w:after="0" w:afterAutospacing="0" w:line="560" w:lineRule="exact"/>
        <w:ind w:firstLine="480" w:firstLineChars="200"/>
        <w:jc w:val="both"/>
        <w:rPr>
          <w:rFonts w:hint="eastAsia" w:ascii="Times New Roman" w:hAnsi="Times New Roman" w:eastAsia="仿宋" w:cs="宋体"/>
          <w:color w:val="000000"/>
          <w:highlight w:val="none"/>
          <w:lang w:eastAsia="zh-CN"/>
        </w:rPr>
      </w:pPr>
      <w:r>
        <w:rPr>
          <w:rFonts w:hint="eastAsia" w:ascii="Times New Roman" w:hAnsi="Times New Roman" w:eastAsia="仿宋" w:cs="宋体"/>
          <w:color w:val="000000"/>
          <w:highlight w:val="none"/>
        </w:rPr>
        <w:t>标注▲号条款（共</w:t>
      </w:r>
      <w:r>
        <w:rPr>
          <w:rFonts w:hint="eastAsia" w:ascii="Times New Roman" w:hAnsi="Times New Roman" w:eastAsia="仿宋" w:cs="宋体"/>
          <w:color w:val="000000"/>
          <w:highlight w:val="none"/>
          <w:lang w:val="en-US" w:eastAsia="zh-CN"/>
        </w:rPr>
        <w:t>5</w:t>
      </w:r>
      <w:r>
        <w:rPr>
          <w:rFonts w:hint="eastAsia" w:ascii="Times New Roman" w:hAnsi="Times New Roman" w:eastAsia="仿宋" w:cs="宋体"/>
          <w:color w:val="000000"/>
          <w:highlight w:val="none"/>
        </w:rPr>
        <w:t xml:space="preserve">项）存在负偏离的，每负偏离一项扣 </w:t>
      </w:r>
      <w:r>
        <w:rPr>
          <w:rFonts w:hint="eastAsia" w:ascii="Times New Roman" w:hAnsi="Times New Roman" w:eastAsia="仿宋" w:cs="宋体"/>
          <w:color w:val="000000"/>
          <w:highlight w:val="none"/>
          <w:lang w:val="en-US" w:eastAsia="zh-CN"/>
        </w:rPr>
        <w:t>3</w:t>
      </w:r>
      <w:r>
        <w:rPr>
          <w:rFonts w:hint="eastAsia" w:ascii="Times New Roman" w:hAnsi="Times New Roman" w:eastAsia="仿宋" w:cs="宋体"/>
          <w:color w:val="000000"/>
          <w:highlight w:val="none"/>
        </w:rPr>
        <w:t>分</w:t>
      </w:r>
      <w:r>
        <w:rPr>
          <w:rFonts w:hint="eastAsia" w:ascii="Times New Roman" w:hAnsi="Times New Roman" w:eastAsia="仿宋" w:cs="宋体"/>
          <w:color w:val="000000"/>
          <w:highlight w:val="none"/>
          <w:lang w:eastAsia="zh-CN"/>
        </w:rPr>
        <w:t>；</w:t>
      </w:r>
    </w:p>
    <w:p w14:paraId="74BE5715">
      <w:pPr>
        <w:pStyle w:val="15"/>
        <w:spacing w:before="0" w:beforeAutospacing="0" w:after="0" w:afterAutospacing="0" w:line="560" w:lineRule="exact"/>
        <w:ind w:firstLine="480" w:firstLineChars="200"/>
        <w:jc w:val="both"/>
        <w:rPr>
          <w:rFonts w:hint="eastAsia" w:ascii="Times New Roman" w:hAnsi="Times New Roman" w:eastAsia="仿宋" w:cs="宋体"/>
          <w:color w:val="000000"/>
          <w:highlight w:val="none"/>
        </w:rPr>
      </w:pPr>
      <w:r>
        <w:rPr>
          <w:rFonts w:hint="eastAsia" w:ascii="Times New Roman" w:hAnsi="Times New Roman" w:eastAsia="仿宋" w:cs="宋体"/>
          <w:color w:val="000000"/>
          <w:highlight w:val="none"/>
        </w:rPr>
        <w:t xml:space="preserve">未标注★号、 ▲号的条款存在负偏离的，每负偏离一项扣 </w:t>
      </w:r>
      <w:r>
        <w:rPr>
          <w:rFonts w:hint="eastAsia" w:ascii="Times New Roman" w:hAnsi="Times New Roman" w:eastAsia="仿宋" w:cs="宋体"/>
          <w:color w:val="000000"/>
          <w:highlight w:val="none"/>
          <w:lang w:val="en-US" w:eastAsia="zh-CN"/>
        </w:rPr>
        <w:t>2</w:t>
      </w:r>
      <w:r>
        <w:rPr>
          <w:rFonts w:hint="eastAsia" w:ascii="Times New Roman" w:hAnsi="Times New Roman" w:eastAsia="仿宋" w:cs="宋体"/>
          <w:color w:val="000000"/>
          <w:highlight w:val="none"/>
        </w:rPr>
        <w:t xml:space="preserve"> 分。</w:t>
      </w:r>
    </w:p>
    <w:p w14:paraId="57B30A5D">
      <w:pPr>
        <w:pStyle w:val="15"/>
        <w:spacing w:before="0" w:beforeAutospacing="0" w:after="0" w:afterAutospacing="0" w:line="560" w:lineRule="exact"/>
        <w:ind w:firstLine="480" w:firstLineChars="200"/>
        <w:jc w:val="both"/>
        <w:rPr>
          <w:rFonts w:ascii="Times New Roman" w:hAnsi="Times New Roman" w:eastAsia="仿宋"/>
          <w:color w:val="000000"/>
        </w:rPr>
      </w:pPr>
      <w:r>
        <w:rPr>
          <w:rFonts w:hint="eastAsia" w:ascii="Times New Roman" w:hAnsi="Times New Roman" w:eastAsia="仿宋"/>
          <w:color w:val="000000"/>
        </w:rPr>
        <w:t>比选内容及要求：</w:t>
      </w:r>
    </w:p>
    <w:tbl>
      <w:tblPr>
        <w:tblStyle w:val="1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6"/>
        <w:gridCol w:w="1493"/>
        <w:gridCol w:w="6257"/>
        <w:gridCol w:w="636"/>
        <w:gridCol w:w="610"/>
      </w:tblGrid>
      <w:tr w14:paraId="5003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D4D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A9C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3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A36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技术参数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DBEF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D029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14:paraId="3744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22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80" w:type="pct"/>
            <w:tcBorders>
              <w:top w:val="single" w:color="000000" w:sz="4" w:space="0"/>
              <w:left w:val="single" w:color="000000" w:sz="4" w:space="0"/>
              <w:bottom w:val="nil"/>
              <w:right w:val="single" w:color="000000" w:sz="4" w:space="0"/>
            </w:tcBorders>
            <w:shd w:val="clear" w:color="auto" w:fill="auto"/>
            <w:vAlign w:val="center"/>
          </w:tcPr>
          <w:p w14:paraId="29F0AF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LED高清大屏</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86A0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★1.屏体尺寸：长：≥3.6米，高：≥2.025米；面积：≥7.29㎡；整屏分辨率：≥2880*1620。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★2.封装方式：全倒装COB封装方式，共阴技术，RGB晶片全倒装技术，晶片直接焊在PCB上，无焊线，散热好。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★3.点间距：≤1.25mm；物理像素密度≥640000点/㎡，每颗像素点为独立的红绿蓝发光芯片构成，不存在复用。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4.晶片尺寸：发光晶片单边尺寸≤90μm，固晶工艺支持巨量转移技术。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面光源设计，有效抑制90%摩尔纹；模组无底壳设计，模组通过磁吸直接贴合在箱体上，箱体为压铸铝合金材质，均为一次性整体压铸成型，全金属自然散热结构，无风扇，防尘、静音设计；维护方式：完全前维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6.色温：1000-20000K可调；亮度均匀性：≥98%；对比度：≥12000：1。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7.可视角：≥165°(H)/≥165°(V)。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8.刷新率：≥3840 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9.超轻薄设计，箱体重量：≤21kg/㎡；箱体尺寸（宽*高*厚度）≤600mm*337.5mm*30mm。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10.平整度（mm）：≤0.1mm；像素失控率；≤1/100000；黑屏情况下大屏墨色一致。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11.屏体亮度≥600cd/㎡。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12.逐点校正功能：逐点校正，可对单点或整屏的亮度，色度进行校正。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13.噪声：静音工作，在温度25℃、湿度40%RH、大气压力100.2kpa时，LED显示屏工作状态下要求距离产品四周的1m处最大噪声升压＜5dB。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14.单个箱体自带测试按钮和指示灯，可显示屏工作状态及测试屏幕故障。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15.具备智能（黑屏）节电功能，开启智能节电功能比没有开启节能80%以上；LED显示屏能效依据GB 21520-2015，达到能效一级。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16.因项目地处山区和沿海地区，存在湿度、盐雾高等因素易导致线路板短路和腐蚀等问题，为提高产品安全性和可靠性，所投LED小间距产品模组背面和驱动板采用三防工艺，有效防潮、防盐雾、防霉。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17.LED显示产品符合低蓝光标准，无蓝光危害，通过TUV低蓝光认证。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18.LED显示屏符合CESI产品认证实施规则，达到绿色健康分级A级及色彩品质A级的要求，证书中产品名称需体现COB字眼。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19.为响应国家节能减碳号召，所投LED显示产品通过CQC节能认证和环保（II型）认证，产品符合碳足迹核查标准ISO14064-3:2019。                                                          20.LED显示屏所选用的电子元器件国产化率为100%,提供相关证明文件佐证。 </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2A0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7.29</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D9C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3885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D1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C49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控制设备</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6EB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1.2U机箱,最大支持带载≥786 万像素点，最宽可达≥16384 像素点，最高可达≥8192 像素点。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2.输入接口：≥1路DP 1.2、≥1路HDMI2.0、≥4路HDMI1.4、≥1路U盘接口。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3.输出接口：≥12 路网口输出。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4.最多支持≥6窗口显示，每个窗口1个图层，图层之间相互覆盖。                                                   5.与大屏同一品牌。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FD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124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23B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0B6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9379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配电柜</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7D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1.额定功率：≥10KW，输出路数：≥3路。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应用功能:支持同步联机控制，异步脱机自动控制；支持逐级延时上电，断电；支持紧急一键断电；支持各通道分别设置独立定时开关电时间、远程单独控制、近端面板独立控制；支持远程实时监测温度数据、湿度数据、各通道上电状态、PLC通讯状态；预置多个预案，可根据检测到的温度、湿度等环境数据自动执行各类突发状况预案；支持RS232、RS485、以太网通讯；支持上位机软件、移动终端App、第三方平台、中控系统、工业触摸屏图形终端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3.保护功能:支持超温保护、过流保护、过压保护、欠压保护、浪涌保护。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4、兼容性:支持B/S构架，电脑或平板无需连接外网，浏览器直接访问配电箱IP地址进行控制；完全兼容统信、中标、银河等国产电脑操作系统。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5.与大屏同一品牌。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97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C23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2EE33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78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1BA5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LED显示屏结构</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C187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主框架采用：角铁、方管、铁板、化学螺栓、膨胀螺丝和辅材。外装饰采用黑钛金拉丝装饰包边，框架及结构采用镀锌方管制作成。</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727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7.29</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6CD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2090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8910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80285">
            <w:pPr>
              <w:keepNext w:val="0"/>
              <w:keepLines w:val="0"/>
              <w:widowControl/>
              <w:suppressLineNumbers w:val="0"/>
              <w:jc w:val="left"/>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安装、调试及运输</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5C43D">
            <w:pPr>
              <w:keepNext w:val="0"/>
              <w:keepLines w:val="0"/>
              <w:widowControl/>
              <w:suppressLineNumbers w:val="0"/>
              <w:jc w:val="left"/>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显示屏安装与屏体内部线材安装、显示屏调试试运行、材料运输费（普通陆运）。</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D03C">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C4A61">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项</w:t>
            </w:r>
          </w:p>
        </w:tc>
      </w:tr>
    </w:tbl>
    <w:p w14:paraId="27B1F18E">
      <w:pPr>
        <w:pStyle w:val="15"/>
        <w:spacing w:before="0" w:beforeAutospacing="0" w:after="0" w:afterAutospacing="0" w:line="560" w:lineRule="exact"/>
        <w:ind w:firstLine="480" w:firstLineChars="200"/>
        <w:jc w:val="both"/>
        <w:rPr>
          <w:rFonts w:hint="default" w:ascii="Times New Roman" w:hAnsi="Times New Roman" w:eastAsia="仿宋"/>
          <w:color w:val="000000"/>
          <w:lang w:val="en-US" w:eastAsia="zh-CN"/>
        </w:rPr>
      </w:pPr>
      <w:r>
        <w:rPr>
          <w:rFonts w:hint="eastAsia" w:ascii="Times New Roman" w:hAnsi="Times New Roman" w:eastAsia="仿宋" w:cs="宋体"/>
          <w:color w:val="000000"/>
          <w:lang w:val="en-US" w:eastAsia="zh-CN"/>
        </w:rPr>
        <w:t>★其他事项：</w:t>
      </w:r>
      <w:r>
        <w:rPr>
          <w:rFonts w:hint="eastAsia" w:ascii="Times New Roman" w:hAnsi="Times New Roman" w:eastAsia="仿宋"/>
          <w:color w:val="000000"/>
          <w:lang w:val="en-US" w:eastAsia="zh-CN"/>
        </w:rPr>
        <w:t>项目质保期为2年，自项目通过终验且双方确认开始提供运行维护服务之日起算。</w:t>
      </w:r>
    </w:p>
    <w:p w14:paraId="2AB7D33D">
      <w:pPr>
        <w:rPr>
          <w:rFonts w:hint="eastAsia" w:ascii="Times New Roman" w:hAnsi="Times New Roman" w:eastAsia="仿宋"/>
          <w:color w:val="000000"/>
        </w:rPr>
      </w:pPr>
      <w:r>
        <w:rPr>
          <w:rFonts w:hint="eastAsia" w:ascii="Times New Roman" w:hAnsi="Times New Roman" w:eastAsia="仿宋"/>
          <w:color w:val="000000"/>
        </w:rPr>
        <w:br w:type="page"/>
      </w:r>
    </w:p>
    <w:p w14:paraId="1BAD0710">
      <w:pPr>
        <w:numPr>
          <w:ilvl w:val="0"/>
          <w:numId w:val="9"/>
        </w:numPr>
        <w:jc w:val="center"/>
        <w:outlineLvl w:val="0"/>
        <w:rPr>
          <w:rFonts w:ascii="Times New Roman" w:hAnsi="Times New Roman" w:eastAsia="仿宋"/>
          <w:sz w:val="44"/>
          <w:szCs w:val="44"/>
        </w:rPr>
      </w:pPr>
      <w:bookmarkStart w:id="165" w:name="_Toc32380"/>
      <w:bookmarkStart w:id="166" w:name="_Toc12858"/>
      <w:bookmarkStart w:id="167" w:name="_Toc24384"/>
      <w:r>
        <w:rPr>
          <w:rFonts w:hint="eastAsia" w:ascii="Times New Roman" w:hAnsi="Times New Roman" w:eastAsia="仿宋" w:cs="Arial"/>
          <w:b/>
          <w:bCs/>
          <w:kern w:val="2"/>
          <w:sz w:val="44"/>
          <w:szCs w:val="44"/>
        </w:rPr>
        <w:t>参选文件的编制</w:t>
      </w:r>
      <w:bookmarkEnd w:id="154"/>
      <w:bookmarkEnd w:id="155"/>
      <w:bookmarkEnd w:id="156"/>
      <w:bookmarkEnd w:id="157"/>
      <w:bookmarkEnd w:id="158"/>
      <w:bookmarkEnd w:id="159"/>
      <w:bookmarkEnd w:id="160"/>
      <w:bookmarkEnd w:id="161"/>
      <w:bookmarkEnd w:id="162"/>
      <w:bookmarkEnd w:id="163"/>
      <w:bookmarkEnd w:id="165"/>
      <w:bookmarkEnd w:id="166"/>
      <w:bookmarkEnd w:id="167"/>
    </w:p>
    <w:p w14:paraId="74DB84D6">
      <w:pPr>
        <w:spacing w:line="560" w:lineRule="exact"/>
        <w:ind w:left="720"/>
        <w:rPr>
          <w:rFonts w:ascii="Times New Roman" w:hAnsi="Times New Roman"/>
          <w:b/>
          <w:sz w:val="28"/>
          <w:szCs w:val="28"/>
        </w:rPr>
      </w:pPr>
    </w:p>
    <w:p w14:paraId="5FFAF1FB">
      <w:pPr>
        <w:pStyle w:val="3"/>
        <w:widowControl/>
        <w:spacing w:before="0" w:after="0" w:line="560" w:lineRule="exact"/>
        <w:ind w:left="576"/>
        <w:jc w:val="left"/>
        <w:rPr>
          <w:rFonts w:ascii="Times New Roman" w:hAnsi="Times New Roman" w:eastAsia="仿宋"/>
        </w:rPr>
      </w:pPr>
      <w:bookmarkStart w:id="168" w:name="_Toc16856"/>
      <w:bookmarkStart w:id="169" w:name="_Toc11780"/>
      <w:bookmarkStart w:id="170" w:name="_Toc27465"/>
      <w:bookmarkStart w:id="171" w:name="_Toc17944"/>
      <w:bookmarkStart w:id="172" w:name="_Toc12013"/>
      <w:bookmarkStart w:id="173" w:name="_Toc91421103"/>
      <w:bookmarkStart w:id="174" w:name="_Toc26949"/>
      <w:bookmarkStart w:id="175" w:name="_Toc19868"/>
      <w:bookmarkStart w:id="176" w:name="_Toc30198"/>
      <w:bookmarkStart w:id="177" w:name="_Toc10055"/>
      <w:bookmarkStart w:id="178" w:name="_Toc3194"/>
      <w:bookmarkStart w:id="179" w:name="_Toc29843"/>
      <w:r>
        <w:rPr>
          <w:rFonts w:hint="eastAsia" w:ascii="Times New Roman" w:hAnsi="Times New Roman" w:eastAsia="仿宋"/>
        </w:rPr>
        <w:t>一、参选文件的组成</w:t>
      </w:r>
      <w:bookmarkEnd w:id="168"/>
      <w:bookmarkEnd w:id="169"/>
      <w:bookmarkEnd w:id="170"/>
      <w:bookmarkEnd w:id="171"/>
      <w:bookmarkEnd w:id="172"/>
      <w:bookmarkEnd w:id="173"/>
      <w:bookmarkEnd w:id="174"/>
      <w:bookmarkEnd w:id="175"/>
      <w:bookmarkEnd w:id="176"/>
      <w:bookmarkEnd w:id="177"/>
      <w:bookmarkEnd w:id="178"/>
      <w:bookmarkEnd w:id="179"/>
    </w:p>
    <w:p w14:paraId="6B32484B">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参选报价单</w:t>
      </w:r>
    </w:p>
    <w:p w14:paraId="7B1BCBC0">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法定代表人授权委托书</w:t>
      </w:r>
    </w:p>
    <w:p w14:paraId="1B2ED77D">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承诺函</w:t>
      </w:r>
    </w:p>
    <w:p w14:paraId="6ECCC7DE">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参选函</w:t>
      </w:r>
    </w:p>
    <w:p w14:paraId="66B50866">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资格证明文件</w:t>
      </w:r>
    </w:p>
    <w:p w14:paraId="196EEF34">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技术方案</w:t>
      </w:r>
    </w:p>
    <w:p w14:paraId="0C8670C0">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比选文件要求响应偏离表</w:t>
      </w:r>
    </w:p>
    <w:p w14:paraId="4684E3E3">
      <w:pPr>
        <w:pStyle w:val="21"/>
        <w:numPr>
          <w:ilvl w:val="0"/>
          <w:numId w:val="10"/>
        </w:numPr>
        <w:spacing w:line="560" w:lineRule="exact"/>
        <w:ind w:firstLine="480"/>
        <w:rPr>
          <w:rFonts w:hint="eastAsia" w:ascii="Times New Roman" w:hAnsi="Times New Roman" w:eastAsia="仿宋"/>
          <w:sz w:val="24"/>
          <w:szCs w:val="24"/>
        </w:rPr>
      </w:pPr>
      <w:r>
        <w:rPr>
          <w:rFonts w:hint="eastAsia" w:ascii="Times New Roman" w:hAnsi="Times New Roman" w:eastAsia="仿宋"/>
          <w:sz w:val="24"/>
          <w:szCs w:val="24"/>
        </w:rPr>
        <w:t>商务评分标准对照情况点对点应答表</w:t>
      </w:r>
    </w:p>
    <w:p w14:paraId="1D7793EB">
      <w:pPr>
        <w:pStyle w:val="21"/>
        <w:numPr>
          <w:ilvl w:val="0"/>
          <w:numId w:val="10"/>
        </w:numPr>
        <w:spacing w:line="560" w:lineRule="exact"/>
        <w:ind w:firstLine="480"/>
        <w:rPr>
          <w:rFonts w:hint="eastAsia" w:ascii="Times New Roman" w:hAnsi="Times New Roman" w:eastAsia="仿宋"/>
          <w:sz w:val="24"/>
          <w:szCs w:val="24"/>
        </w:rPr>
      </w:pPr>
      <w:r>
        <w:rPr>
          <w:rFonts w:hint="eastAsia" w:ascii="Times New Roman" w:hAnsi="Times New Roman" w:eastAsia="仿宋"/>
          <w:sz w:val="24"/>
          <w:szCs w:val="24"/>
        </w:rPr>
        <w:t>技术评分标准对照情况点对点应答表</w:t>
      </w:r>
    </w:p>
    <w:p w14:paraId="4D43E4CE">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其他技术及商务证明材料</w:t>
      </w:r>
    </w:p>
    <w:p w14:paraId="7CB7475B">
      <w:pPr>
        <w:pStyle w:val="21"/>
        <w:numPr>
          <w:ilvl w:val="0"/>
          <w:numId w:val="10"/>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以上第1至</w:t>
      </w:r>
      <w:r>
        <w:rPr>
          <w:rFonts w:ascii="Times New Roman" w:hAnsi="Times New Roman" w:eastAsia="仿宋"/>
          <w:sz w:val="24"/>
          <w:szCs w:val="24"/>
        </w:rPr>
        <w:t>1</w:t>
      </w:r>
      <w:r>
        <w:rPr>
          <w:rFonts w:hint="eastAsia" w:ascii="Times New Roman" w:hAnsi="Times New Roman" w:eastAsia="仿宋"/>
          <w:sz w:val="24"/>
          <w:szCs w:val="24"/>
          <w:lang w:val="en-US" w:eastAsia="zh-CN"/>
        </w:rPr>
        <w:t>0</w:t>
      </w:r>
      <w:r>
        <w:rPr>
          <w:rFonts w:hint="eastAsia" w:ascii="Times New Roman" w:hAnsi="Times New Roman" w:eastAsia="仿宋"/>
          <w:sz w:val="24"/>
          <w:szCs w:val="24"/>
        </w:rPr>
        <w:t>项应合并为一份完整材料，均须加盖公章。参选资料密封后的封面上要明确注明项目名称、参选人单位名称，并加盖公章。</w:t>
      </w:r>
    </w:p>
    <w:p w14:paraId="28296CF3">
      <w:pPr>
        <w:pStyle w:val="3"/>
        <w:widowControl/>
        <w:spacing w:before="0" w:after="0" w:line="560" w:lineRule="exact"/>
        <w:ind w:left="576"/>
        <w:jc w:val="left"/>
        <w:rPr>
          <w:rFonts w:ascii="Times New Roman" w:hAnsi="Times New Roman" w:eastAsia="仿宋"/>
        </w:rPr>
      </w:pPr>
      <w:bookmarkStart w:id="180" w:name="_Toc10849"/>
      <w:bookmarkStart w:id="181" w:name="_Toc16406"/>
      <w:bookmarkStart w:id="182" w:name="_Toc10449"/>
      <w:bookmarkStart w:id="183" w:name="_Toc91421104"/>
      <w:bookmarkStart w:id="184" w:name="_Toc30101"/>
      <w:bookmarkStart w:id="185" w:name="_Toc28835"/>
      <w:bookmarkStart w:id="186" w:name="_Toc14601"/>
      <w:bookmarkStart w:id="187" w:name="_Toc13572"/>
      <w:bookmarkStart w:id="188" w:name="_Toc1720"/>
      <w:bookmarkStart w:id="189" w:name="_Toc29197"/>
      <w:bookmarkStart w:id="190" w:name="_Toc13300"/>
      <w:bookmarkStart w:id="191" w:name="_Toc31193"/>
      <w:r>
        <w:rPr>
          <w:rFonts w:hint="eastAsia" w:ascii="Times New Roman" w:hAnsi="Times New Roman" w:eastAsia="仿宋"/>
        </w:rPr>
        <w:t>二、参选书格式</w:t>
      </w:r>
      <w:bookmarkEnd w:id="180"/>
      <w:bookmarkEnd w:id="181"/>
      <w:bookmarkEnd w:id="182"/>
      <w:bookmarkEnd w:id="183"/>
      <w:bookmarkEnd w:id="184"/>
      <w:bookmarkEnd w:id="185"/>
      <w:bookmarkEnd w:id="186"/>
      <w:bookmarkEnd w:id="187"/>
      <w:bookmarkEnd w:id="188"/>
      <w:bookmarkEnd w:id="189"/>
      <w:bookmarkEnd w:id="190"/>
      <w:bookmarkEnd w:id="191"/>
    </w:p>
    <w:p w14:paraId="7FD0603B">
      <w:pPr>
        <w:spacing w:line="560" w:lineRule="exact"/>
        <w:ind w:firstLine="480" w:firstLineChars="200"/>
        <w:rPr>
          <w:rFonts w:ascii="Times New Roman" w:hAnsi="Times New Roman" w:eastAsia="仿宋"/>
        </w:rPr>
      </w:pPr>
      <w:r>
        <w:rPr>
          <w:rFonts w:hint="eastAsia" w:ascii="Times New Roman" w:hAnsi="Times New Roman" w:eastAsia="仿宋"/>
        </w:rPr>
        <w:t>参选人应按规定制作参选文件并加盖公章，按规定填写参选报价单并需加盖公章，法定代表人或参选代表签字。</w:t>
      </w:r>
    </w:p>
    <w:p w14:paraId="6009A9FA">
      <w:pPr>
        <w:pStyle w:val="3"/>
        <w:widowControl/>
        <w:spacing w:before="0" w:after="0" w:line="560" w:lineRule="exact"/>
        <w:ind w:left="576"/>
        <w:jc w:val="left"/>
        <w:rPr>
          <w:rFonts w:ascii="Times New Roman" w:hAnsi="Times New Roman" w:eastAsia="仿宋"/>
        </w:rPr>
      </w:pPr>
      <w:bookmarkStart w:id="192" w:name="_Toc25176"/>
      <w:bookmarkStart w:id="193" w:name="_Toc23684"/>
      <w:bookmarkStart w:id="194" w:name="_Toc91421105"/>
      <w:bookmarkStart w:id="195" w:name="_Toc23979"/>
      <w:bookmarkStart w:id="196" w:name="_Toc10283"/>
      <w:bookmarkStart w:id="197" w:name="_Toc3189"/>
      <w:bookmarkStart w:id="198" w:name="_Toc1611"/>
      <w:bookmarkStart w:id="199" w:name="_Toc1418"/>
      <w:bookmarkStart w:id="200" w:name="_Toc22861"/>
      <w:bookmarkStart w:id="201" w:name="_Toc7145"/>
      <w:bookmarkStart w:id="202" w:name="_Toc14623"/>
      <w:bookmarkStart w:id="203" w:name="_Toc1735"/>
      <w:r>
        <w:rPr>
          <w:rFonts w:hint="eastAsia" w:ascii="Times New Roman" w:hAnsi="Times New Roman" w:eastAsia="仿宋"/>
        </w:rPr>
        <w:t>三、参选文件的式样、密封和签署</w:t>
      </w:r>
      <w:bookmarkEnd w:id="192"/>
      <w:bookmarkEnd w:id="193"/>
      <w:bookmarkEnd w:id="194"/>
      <w:bookmarkEnd w:id="195"/>
      <w:bookmarkEnd w:id="196"/>
      <w:bookmarkEnd w:id="197"/>
      <w:bookmarkEnd w:id="198"/>
      <w:bookmarkEnd w:id="199"/>
      <w:bookmarkEnd w:id="200"/>
      <w:bookmarkEnd w:id="201"/>
      <w:bookmarkEnd w:id="202"/>
      <w:bookmarkEnd w:id="203"/>
    </w:p>
    <w:p w14:paraId="63EF4E0B">
      <w:pPr>
        <w:pStyle w:val="21"/>
        <w:numPr>
          <w:ilvl w:val="0"/>
          <w:numId w:val="11"/>
        </w:numPr>
        <w:spacing w:line="560" w:lineRule="exact"/>
        <w:ind w:firstLine="480"/>
        <w:rPr>
          <w:rFonts w:ascii="Times New Roman" w:hAnsi="Times New Roman" w:eastAsia="仿宋"/>
          <w:sz w:val="24"/>
          <w:szCs w:val="24"/>
          <w:highlight w:val="none"/>
        </w:rPr>
      </w:pPr>
      <w:r>
        <w:rPr>
          <w:rFonts w:hint="eastAsia" w:ascii="Times New Roman" w:hAnsi="Times New Roman" w:eastAsia="仿宋"/>
          <w:sz w:val="24"/>
          <w:szCs w:val="24"/>
          <w:highlight w:val="none"/>
        </w:rPr>
        <w:t>参选人应准备参选文件正本一套和副本</w:t>
      </w:r>
      <w:r>
        <w:rPr>
          <w:rFonts w:hint="eastAsia" w:ascii="Times New Roman" w:hAnsi="Times New Roman" w:eastAsia="仿宋"/>
          <w:sz w:val="24"/>
          <w:szCs w:val="24"/>
          <w:highlight w:val="none"/>
          <w:lang w:val="en-US" w:eastAsia="zh-CN"/>
        </w:rPr>
        <w:t>一</w:t>
      </w:r>
      <w:r>
        <w:rPr>
          <w:rFonts w:hint="eastAsia" w:ascii="Times New Roman" w:hAnsi="Times New Roman" w:eastAsia="仿宋"/>
          <w:sz w:val="24"/>
          <w:szCs w:val="24"/>
          <w:highlight w:val="none"/>
        </w:rPr>
        <w:t>套，参选文件电子版一份，每套参选文件须清楚地标明“正本”或“副本”。若正本和副本不符，以正本为准。</w:t>
      </w:r>
    </w:p>
    <w:p w14:paraId="0404D85A">
      <w:pPr>
        <w:pStyle w:val="21"/>
        <w:numPr>
          <w:ilvl w:val="0"/>
          <w:numId w:val="11"/>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信封或外包装上应当注明比选项目名称和“在比选（比选文件中规定的日期和时点）前不得启封”的字样，封口处应密封并加盖参选人公章。</w:t>
      </w:r>
    </w:p>
    <w:p w14:paraId="32D71479">
      <w:pPr>
        <w:pStyle w:val="21"/>
        <w:numPr>
          <w:ilvl w:val="0"/>
          <w:numId w:val="11"/>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参选文件的正本应由法定代表人或参选代表在参选文件上签字并加盖参选人公章。参选代表须将以书面形式出具的“法定代表人授权委托书”附在参选文件中。</w:t>
      </w:r>
    </w:p>
    <w:p w14:paraId="62CB1D8F">
      <w:pPr>
        <w:pStyle w:val="21"/>
        <w:numPr>
          <w:ilvl w:val="0"/>
          <w:numId w:val="11"/>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任何行间插字、涂改和增删，必须由参选人法定代表人或参选代表在旁边签字才有效。</w:t>
      </w:r>
    </w:p>
    <w:p w14:paraId="21B0AA4F">
      <w:pPr>
        <w:pStyle w:val="3"/>
        <w:widowControl/>
        <w:spacing w:before="0" w:after="0" w:line="560" w:lineRule="exact"/>
        <w:ind w:left="576"/>
        <w:jc w:val="left"/>
        <w:rPr>
          <w:rFonts w:ascii="Times New Roman" w:hAnsi="Times New Roman" w:eastAsia="仿宋"/>
        </w:rPr>
      </w:pPr>
      <w:bookmarkStart w:id="204" w:name="_Toc15584"/>
      <w:bookmarkStart w:id="205" w:name="_Toc6127"/>
      <w:bookmarkStart w:id="206" w:name="_Toc26636"/>
      <w:bookmarkStart w:id="207" w:name="_Toc32353"/>
      <w:bookmarkStart w:id="208" w:name="_Toc16816"/>
      <w:bookmarkStart w:id="209" w:name="_Toc11714"/>
      <w:bookmarkStart w:id="210" w:name="_Toc31622"/>
      <w:bookmarkStart w:id="211" w:name="_Toc91421106"/>
      <w:bookmarkStart w:id="212" w:name="_Toc19845"/>
      <w:bookmarkStart w:id="213" w:name="_Toc2450"/>
      <w:bookmarkStart w:id="214" w:name="_Toc25717"/>
      <w:bookmarkStart w:id="215" w:name="_Toc29550"/>
      <w:r>
        <w:rPr>
          <w:rFonts w:hint="eastAsia" w:ascii="Times New Roman" w:hAnsi="Times New Roman" w:eastAsia="仿宋"/>
        </w:rPr>
        <w:t>四、参选报价</w:t>
      </w:r>
      <w:bookmarkEnd w:id="204"/>
      <w:bookmarkEnd w:id="205"/>
      <w:bookmarkEnd w:id="206"/>
      <w:bookmarkEnd w:id="207"/>
      <w:bookmarkEnd w:id="208"/>
      <w:bookmarkEnd w:id="209"/>
      <w:bookmarkEnd w:id="210"/>
      <w:bookmarkEnd w:id="211"/>
      <w:bookmarkEnd w:id="212"/>
      <w:bookmarkEnd w:id="213"/>
      <w:bookmarkEnd w:id="214"/>
      <w:bookmarkEnd w:id="215"/>
    </w:p>
    <w:p w14:paraId="034F547A">
      <w:pPr>
        <w:snapToGrid w:val="0"/>
        <w:spacing w:line="560" w:lineRule="exact"/>
        <w:ind w:firstLine="477" w:firstLineChars="199"/>
        <w:rPr>
          <w:rFonts w:ascii="Times New Roman" w:hAnsi="Times New Roman" w:eastAsia="仿宋"/>
          <w:highlight w:val="none"/>
        </w:rPr>
      </w:pPr>
      <w:r>
        <w:rPr>
          <w:rFonts w:hint="eastAsia" w:ascii="Times New Roman" w:hAnsi="Times New Roman" w:eastAsia="仿宋"/>
        </w:rPr>
        <w:t>参选人须按要求进行报价（报价为含税价格），对参选报价负责。参选报价应加盖参选人公章，字迹清晰,否则视为</w:t>
      </w:r>
      <w:r>
        <w:rPr>
          <w:rFonts w:hint="eastAsia" w:ascii="Times New Roman" w:hAnsi="Times New Roman" w:eastAsia="仿宋"/>
          <w:highlight w:val="none"/>
        </w:rPr>
        <w:t>无效。</w:t>
      </w:r>
    </w:p>
    <w:p w14:paraId="2B8A0542">
      <w:pPr>
        <w:snapToGrid w:val="0"/>
        <w:spacing w:line="560" w:lineRule="exact"/>
        <w:ind w:firstLine="477" w:firstLineChars="199"/>
        <w:rPr>
          <w:rFonts w:ascii="Times New Roman" w:hAnsi="Times New Roman" w:eastAsia="仿宋"/>
          <w:highlight w:val="none"/>
        </w:rPr>
      </w:pPr>
      <w:r>
        <w:rPr>
          <w:rFonts w:hint="eastAsia" w:ascii="Times New Roman" w:hAnsi="Times New Roman" w:eastAsia="仿宋"/>
          <w:highlight w:val="none"/>
        </w:rPr>
        <w:t>本项目最高限价为</w:t>
      </w:r>
      <w:r>
        <w:rPr>
          <w:rFonts w:hint="eastAsia" w:ascii="Times New Roman" w:hAnsi="Times New Roman" w:eastAsia="仿宋"/>
          <w:highlight w:val="none"/>
          <w:lang w:val="en-US" w:eastAsia="zh-CN"/>
        </w:rPr>
        <w:t>14</w:t>
      </w:r>
      <w:r>
        <w:rPr>
          <w:rFonts w:hint="eastAsia" w:ascii="Times New Roman" w:hAnsi="Times New Roman" w:eastAsia="仿宋"/>
          <w:highlight w:val="none"/>
        </w:rPr>
        <w:t>万元。参选</w:t>
      </w:r>
      <w:r>
        <w:rPr>
          <w:rFonts w:ascii="Times New Roman" w:hAnsi="Times New Roman" w:eastAsia="仿宋"/>
          <w:highlight w:val="none"/>
        </w:rPr>
        <w:t>人对本项目只允许</w:t>
      </w:r>
      <w:r>
        <w:rPr>
          <w:rFonts w:hint="eastAsia" w:ascii="Times New Roman" w:hAnsi="Times New Roman" w:eastAsia="仿宋"/>
          <w:highlight w:val="none"/>
        </w:rPr>
        <w:t>只有</w:t>
      </w:r>
      <w:r>
        <w:rPr>
          <w:rFonts w:ascii="Times New Roman" w:hAnsi="Times New Roman" w:eastAsia="仿宋"/>
          <w:highlight w:val="none"/>
        </w:rPr>
        <w:t>一个有效报价，超额报价或多个报价视为无效报价，报价为一次性不得更改的报价。</w:t>
      </w:r>
    </w:p>
    <w:p w14:paraId="6F000CA4">
      <w:pPr>
        <w:snapToGrid w:val="0"/>
        <w:spacing w:line="560" w:lineRule="exact"/>
        <w:ind w:firstLine="477" w:firstLineChars="199"/>
        <w:rPr>
          <w:rFonts w:ascii="Times New Roman" w:hAnsi="Times New Roman" w:eastAsia="仿宋"/>
        </w:rPr>
      </w:pPr>
      <w:r>
        <w:rPr>
          <w:rFonts w:hint="eastAsia" w:ascii="Times New Roman" w:hAnsi="Times New Roman" w:eastAsia="仿宋"/>
        </w:rPr>
        <w:t>参选报价所涉及的费用包括但不限于本项目技术咨询、资料、工具、调研、人员劳务、税收等所有费用。</w:t>
      </w:r>
    </w:p>
    <w:p w14:paraId="324F5ED0">
      <w:pPr>
        <w:pStyle w:val="3"/>
        <w:widowControl/>
        <w:spacing w:before="0" w:after="0" w:line="560" w:lineRule="exact"/>
        <w:ind w:left="576"/>
        <w:jc w:val="left"/>
        <w:rPr>
          <w:rFonts w:ascii="Times New Roman" w:hAnsi="Times New Roman" w:eastAsia="仿宋"/>
        </w:rPr>
      </w:pPr>
      <w:bookmarkStart w:id="216" w:name="_Toc14518"/>
      <w:bookmarkStart w:id="217" w:name="_Toc25260"/>
      <w:bookmarkStart w:id="218" w:name="_Toc23336"/>
      <w:bookmarkStart w:id="219" w:name="_Toc13971"/>
      <w:bookmarkStart w:id="220" w:name="_Toc7522"/>
      <w:bookmarkStart w:id="221" w:name="_Toc9026"/>
      <w:bookmarkStart w:id="222" w:name="_Toc91421107"/>
      <w:bookmarkStart w:id="223" w:name="_Toc13008"/>
      <w:bookmarkStart w:id="224" w:name="_Toc23315"/>
      <w:bookmarkStart w:id="225" w:name="_Toc24171"/>
      <w:bookmarkStart w:id="226" w:name="_Toc23761"/>
      <w:bookmarkStart w:id="227" w:name="_Toc2529"/>
      <w:r>
        <w:rPr>
          <w:rFonts w:hint="eastAsia" w:ascii="Times New Roman" w:hAnsi="Times New Roman" w:eastAsia="仿宋"/>
        </w:rPr>
        <w:t>五、特别说明</w:t>
      </w:r>
      <w:bookmarkEnd w:id="216"/>
      <w:bookmarkEnd w:id="217"/>
      <w:bookmarkEnd w:id="218"/>
      <w:bookmarkEnd w:id="219"/>
      <w:bookmarkEnd w:id="220"/>
      <w:bookmarkEnd w:id="221"/>
      <w:bookmarkEnd w:id="222"/>
      <w:bookmarkEnd w:id="223"/>
      <w:bookmarkEnd w:id="224"/>
      <w:bookmarkEnd w:id="225"/>
      <w:bookmarkEnd w:id="226"/>
      <w:bookmarkEnd w:id="227"/>
    </w:p>
    <w:p w14:paraId="2A08B04B">
      <w:pPr>
        <w:pStyle w:val="21"/>
        <w:numPr>
          <w:ilvl w:val="0"/>
          <w:numId w:val="12"/>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参选人应承担所有与准备和参加比选有关的费用。不论比选的结果如何，比选人均无义务和责任承担这些费用。</w:t>
      </w:r>
    </w:p>
    <w:p w14:paraId="601F0A01">
      <w:pPr>
        <w:pStyle w:val="21"/>
        <w:numPr>
          <w:ilvl w:val="0"/>
          <w:numId w:val="12"/>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参选人收到比选文件后，如有疑问需要澄清，请以书面形式在规定时间内向比选人提交。</w:t>
      </w:r>
    </w:p>
    <w:p w14:paraId="6D8B8EE5">
      <w:pPr>
        <w:pStyle w:val="21"/>
        <w:numPr>
          <w:ilvl w:val="0"/>
          <w:numId w:val="12"/>
        </w:numPr>
        <w:spacing w:line="560" w:lineRule="exact"/>
        <w:ind w:firstLine="480"/>
        <w:rPr>
          <w:rFonts w:ascii="Times New Roman" w:hAnsi="Times New Roman" w:eastAsia="仿宋"/>
          <w:sz w:val="24"/>
          <w:szCs w:val="24"/>
        </w:rPr>
      </w:pPr>
      <w:r>
        <w:rPr>
          <w:rFonts w:hint="eastAsia" w:ascii="Times New Roman" w:hAnsi="Times New Roman" w:eastAsia="仿宋"/>
          <w:sz w:val="24"/>
          <w:szCs w:val="24"/>
        </w:rPr>
        <w:t>参选人对比选人提供的比选文件所做出的推论、解释和结论，比选人概不负责。参选人由于对比选文件的任何推论和误解以及比选人对有关问题的口头解释所造成的后果，均由参选人负责。</w:t>
      </w:r>
    </w:p>
    <w:p w14:paraId="68C0FC73">
      <w:pPr>
        <w:spacing w:line="560" w:lineRule="exact"/>
        <w:rPr>
          <w:rFonts w:ascii="Times New Roman" w:hAnsi="Times New Roman" w:cs="Arial"/>
          <w:b/>
          <w:bCs/>
          <w:sz w:val="32"/>
          <w:szCs w:val="32"/>
        </w:rPr>
      </w:pPr>
      <w:bookmarkStart w:id="228" w:name="_Toc486321059"/>
      <w:r>
        <w:rPr>
          <w:rFonts w:ascii="Times New Roman" w:hAnsi="Times New Roman"/>
        </w:rPr>
        <w:br w:type="page"/>
      </w:r>
    </w:p>
    <w:p w14:paraId="2AD53E43">
      <w:pPr>
        <w:numPr>
          <w:ilvl w:val="0"/>
          <w:numId w:val="9"/>
        </w:numPr>
        <w:jc w:val="center"/>
        <w:outlineLvl w:val="0"/>
        <w:rPr>
          <w:rFonts w:hint="eastAsia" w:ascii="Times New Roman" w:hAnsi="Times New Roman" w:eastAsia="仿宋" w:cs="Arial"/>
          <w:b/>
          <w:bCs/>
          <w:kern w:val="2"/>
          <w:sz w:val="44"/>
          <w:szCs w:val="44"/>
        </w:rPr>
      </w:pPr>
      <w:bookmarkStart w:id="229" w:name="_Toc4396"/>
      <w:bookmarkStart w:id="230" w:name="_Toc2672"/>
      <w:bookmarkStart w:id="231" w:name="_Toc11976"/>
      <w:bookmarkStart w:id="232" w:name="_Toc9418"/>
      <w:bookmarkStart w:id="233" w:name="_Toc8818"/>
      <w:bookmarkStart w:id="234" w:name="_Toc12212"/>
      <w:bookmarkStart w:id="235" w:name="_Toc91421108"/>
      <w:bookmarkStart w:id="236" w:name="_Toc31472"/>
      <w:bookmarkStart w:id="237" w:name="_Toc14847"/>
      <w:bookmarkStart w:id="238" w:name="_Toc14813"/>
      <w:bookmarkStart w:id="239" w:name="_Toc17335"/>
      <w:bookmarkStart w:id="240" w:name="_Toc17983"/>
      <w:r>
        <w:rPr>
          <w:rFonts w:hint="eastAsia" w:ascii="Times New Roman" w:hAnsi="Times New Roman" w:eastAsia="仿宋" w:cs="Arial"/>
          <w:b/>
          <w:bCs/>
          <w:kern w:val="2"/>
          <w:sz w:val="44"/>
          <w:szCs w:val="44"/>
        </w:rPr>
        <w:t>评比规则</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7D177CAF">
      <w:pPr>
        <w:spacing w:line="560" w:lineRule="exact"/>
        <w:jc w:val="center"/>
        <w:rPr>
          <w:rFonts w:ascii="Times New Roman" w:hAnsi="Times New Roman"/>
          <w:b/>
          <w:sz w:val="28"/>
          <w:szCs w:val="28"/>
        </w:rPr>
      </w:pPr>
    </w:p>
    <w:p w14:paraId="2986D43C">
      <w:pPr>
        <w:pStyle w:val="3"/>
        <w:widowControl/>
        <w:spacing w:before="0" w:after="0" w:line="560" w:lineRule="exact"/>
        <w:ind w:left="576"/>
        <w:jc w:val="left"/>
        <w:rPr>
          <w:rFonts w:ascii="Times New Roman" w:hAnsi="Times New Roman" w:eastAsia="仿宋"/>
        </w:rPr>
      </w:pPr>
      <w:bookmarkStart w:id="241" w:name="_Toc15173"/>
      <w:bookmarkStart w:id="242" w:name="_Toc91421109"/>
      <w:bookmarkStart w:id="243" w:name="_Toc2136"/>
      <w:bookmarkStart w:id="244" w:name="_Toc6501"/>
      <w:bookmarkStart w:id="245" w:name="_Toc28788"/>
      <w:bookmarkStart w:id="246" w:name="_Toc14173"/>
      <w:bookmarkStart w:id="247" w:name="_Toc16688"/>
      <w:bookmarkStart w:id="248" w:name="_Toc18949"/>
      <w:bookmarkStart w:id="249" w:name="_Toc19662"/>
      <w:bookmarkStart w:id="250" w:name="_Toc29353"/>
      <w:bookmarkStart w:id="251" w:name="_Toc1743"/>
      <w:bookmarkStart w:id="252" w:name="_Toc7743"/>
      <w:r>
        <w:rPr>
          <w:rFonts w:hint="eastAsia" w:ascii="Times New Roman" w:hAnsi="Times New Roman" w:eastAsia="仿宋"/>
        </w:rPr>
        <w:t>一、规则</w:t>
      </w:r>
      <w:bookmarkEnd w:id="241"/>
      <w:bookmarkEnd w:id="242"/>
      <w:bookmarkEnd w:id="243"/>
      <w:bookmarkEnd w:id="244"/>
      <w:bookmarkEnd w:id="245"/>
      <w:bookmarkEnd w:id="246"/>
      <w:bookmarkEnd w:id="247"/>
      <w:bookmarkEnd w:id="248"/>
      <w:bookmarkEnd w:id="249"/>
      <w:bookmarkEnd w:id="250"/>
      <w:bookmarkEnd w:id="251"/>
      <w:bookmarkEnd w:id="252"/>
    </w:p>
    <w:p w14:paraId="0F801F78">
      <w:pPr>
        <w:numPr>
          <w:ilvl w:val="0"/>
          <w:numId w:val="13"/>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比选人在比选时，比选办法采用</w:t>
      </w:r>
      <w:r>
        <w:rPr>
          <w:rFonts w:hint="eastAsia" w:ascii="Times New Roman" w:hAnsi="Times New Roman" w:eastAsia="仿宋" w:cs="仿宋"/>
          <w:color w:val="000000"/>
        </w:rPr>
        <w:t>综合评分法确定中选单位</w:t>
      </w:r>
      <w:r>
        <w:rPr>
          <w:rFonts w:hint="eastAsia" w:ascii="Times New Roman" w:hAnsi="Times New Roman" w:eastAsia="仿宋"/>
        </w:rPr>
        <w:t>。</w:t>
      </w:r>
    </w:p>
    <w:p w14:paraId="16360A08">
      <w:pPr>
        <w:numPr>
          <w:ilvl w:val="0"/>
          <w:numId w:val="13"/>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参选人串选、相互勾结故意压低价格以排挤竞争对手的公平竞争的，其参选无效。</w:t>
      </w:r>
    </w:p>
    <w:p w14:paraId="2D590E1B">
      <w:pPr>
        <w:numPr>
          <w:ilvl w:val="0"/>
          <w:numId w:val="13"/>
        </w:numPr>
        <w:autoSpaceDE w:val="0"/>
        <w:autoSpaceDN w:val="0"/>
        <w:spacing w:line="560" w:lineRule="exact"/>
        <w:ind w:firstLine="480" w:firstLineChars="200"/>
        <w:rPr>
          <w:rFonts w:ascii="Times New Roman" w:hAnsi="Times New Roman" w:eastAsia="仿宋"/>
        </w:rPr>
      </w:pPr>
      <w:r>
        <w:rPr>
          <w:rFonts w:hint="eastAsia" w:ascii="Times New Roman" w:hAnsi="Times New Roman" w:eastAsia="仿宋"/>
        </w:rPr>
        <w:t>替补候选人的设定与使用：在合同签订前，比选人发现中选人的参选报价或服务存在重大偏差、或参选材料存在欺诈行为时、或中选人因不可抗力或自身原因不能履行合同、或存在法律法规规定或本比选文件规定不得中选的其他情形的，比选人将有权取消其中选人资格，并将依评比规则确定的排名第二名的候选中选人为本项目的中选人，或者重新组织比选。</w:t>
      </w:r>
    </w:p>
    <w:p w14:paraId="789EA606">
      <w:pPr>
        <w:pStyle w:val="3"/>
        <w:widowControl/>
        <w:spacing w:before="0" w:after="0" w:line="560" w:lineRule="exact"/>
        <w:ind w:left="576"/>
        <w:jc w:val="left"/>
        <w:rPr>
          <w:rFonts w:ascii="Times New Roman" w:hAnsi="Times New Roman" w:eastAsia="仿宋"/>
        </w:rPr>
      </w:pPr>
      <w:bookmarkStart w:id="253" w:name="_Toc91421110"/>
      <w:bookmarkStart w:id="254" w:name="_Toc17111"/>
      <w:bookmarkStart w:id="255" w:name="_Toc20052"/>
      <w:bookmarkStart w:id="256" w:name="_Toc28961"/>
      <w:bookmarkStart w:id="257" w:name="_Toc30519"/>
      <w:bookmarkStart w:id="258" w:name="_Toc25845"/>
      <w:bookmarkStart w:id="259" w:name="_Toc16403"/>
      <w:bookmarkStart w:id="260" w:name="_Toc7732"/>
      <w:bookmarkStart w:id="261" w:name="_Toc24784"/>
      <w:bookmarkStart w:id="262" w:name="_Toc3072"/>
      <w:bookmarkStart w:id="263" w:name="_Toc14363"/>
      <w:bookmarkStart w:id="264" w:name="_Toc7235"/>
      <w:r>
        <w:rPr>
          <w:rFonts w:hint="eastAsia" w:ascii="Times New Roman" w:hAnsi="Times New Roman" w:eastAsia="仿宋"/>
        </w:rPr>
        <w:t>二、资格审查</w:t>
      </w:r>
      <w:bookmarkEnd w:id="253"/>
      <w:bookmarkEnd w:id="254"/>
      <w:bookmarkEnd w:id="255"/>
      <w:bookmarkEnd w:id="256"/>
      <w:bookmarkEnd w:id="257"/>
      <w:bookmarkEnd w:id="258"/>
      <w:bookmarkEnd w:id="259"/>
      <w:bookmarkEnd w:id="260"/>
      <w:bookmarkEnd w:id="261"/>
      <w:bookmarkEnd w:id="262"/>
      <w:bookmarkEnd w:id="263"/>
      <w:bookmarkEnd w:id="264"/>
    </w:p>
    <w:p w14:paraId="1E765032">
      <w:p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由比选人组建的比选小组将按照第二章比选须知第六点“参选人资格”的要求对参选人进行资格审查，以确定是否为符合比选文件规定要求的合格参选人，同时，比选小组将依据参选人提供的资格证明文件审查参选人的法人资格、营业范围及本比选文件规定的其他资格条件，以确定参选人是否有资格履行合同。经上述资格审查合格的参选人进入下一程序的评审，经上述资格审查不合格的参选人，其参选资格将被比选小组予以否决。</w:t>
      </w:r>
    </w:p>
    <w:p w14:paraId="76827992">
      <w:pPr>
        <w:pStyle w:val="3"/>
        <w:widowControl/>
        <w:spacing w:before="0" w:after="0" w:line="560" w:lineRule="exact"/>
        <w:ind w:left="576"/>
        <w:jc w:val="left"/>
        <w:rPr>
          <w:rFonts w:ascii="Times New Roman" w:hAnsi="Times New Roman" w:eastAsia="仿宋"/>
        </w:rPr>
      </w:pPr>
      <w:bookmarkStart w:id="265" w:name="_Toc20268"/>
      <w:bookmarkStart w:id="266" w:name="_Toc18476"/>
      <w:bookmarkStart w:id="267" w:name="_Toc26675"/>
      <w:bookmarkStart w:id="268" w:name="_Toc14478"/>
      <w:bookmarkStart w:id="269" w:name="_Toc91421111"/>
      <w:bookmarkStart w:id="270" w:name="_Toc20671"/>
      <w:bookmarkStart w:id="271" w:name="_Toc8652"/>
      <w:bookmarkStart w:id="272" w:name="_Toc11095"/>
      <w:bookmarkStart w:id="273" w:name="_Toc24095"/>
      <w:bookmarkStart w:id="274" w:name="_Toc27426"/>
      <w:bookmarkStart w:id="275" w:name="_Toc24117"/>
      <w:bookmarkStart w:id="276" w:name="_Toc24682"/>
      <w:r>
        <w:rPr>
          <w:rFonts w:hint="eastAsia" w:ascii="Times New Roman" w:hAnsi="Times New Roman" w:eastAsia="仿宋"/>
        </w:rPr>
        <w:t>三、比选办法</w:t>
      </w:r>
      <w:bookmarkEnd w:id="265"/>
      <w:bookmarkEnd w:id="266"/>
      <w:bookmarkEnd w:id="267"/>
      <w:bookmarkEnd w:id="268"/>
      <w:bookmarkEnd w:id="269"/>
      <w:bookmarkEnd w:id="270"/>
      <w:bookmarkEnd w:id="271"/>
      <w:bookmarkEnd w:id="272"/>
      <w:bookmarkEnd w:id="273"/>
      <w:bookmarkEnd w:id="274"/>
      <w:bookmarkEnd w:id="275"/>
      <w:bookmarkEnd w:id="276"/>
    </w:p>
    <w:p w14:paraId="5C18EA32">
      <w:pPr>
        <w:autoSpaceDE w:val="0"/>
        <w:autoSpaceDN w:val="0"/>
        <w:spacing w:line="560" w:lineRule="exact"/>
        <w:ind w:firstLine="562" w:firstLineChars="200"/>
        <w:rPr>
          <w:rFonts w:ascii="Times New Roman" w:hAnsi="Times New Roman" w:eastAsia="仿宋"/>
          <w:b/>
          <w:bCs/>
          <w:snapToGrid w:val="0"/>
          <w:sz w:val="28"/>
          <w:szCs w:val="28"/>
        </w:rPr>
      </w:pPr>
      <w:bookmarkStart w:id="277" w:name="_Toc12248"/>
      <w:r>
        <w:rPr>
          <w:rFonts w:hint="eastAsia" w:ascii="Times New Roman" w:hAnsi="Times New Roman" w:eastAsia="仿宋"/>
          <w:b/>
          <w:bCs/>
          <w:snapToGrid w:val="0"/>
          <w:sz w:val="28"/>
          <w:szCs w:val="28"/>
        </w:rPr>
        <w:t>3.1 本项目比选采用</w:t>
      </w:r>
      <w:r>
        <w:rPr>
          <w:rFonts w:hint="eastAsia" w:ascii="Times New Roman" w:hAnsi="Times New Roman" w:eastAsia="仿宋"/>
          <w:b/>
          <w:bCs/>
          <w:snapToGrid w:val="0"/>
          <w:color w:val="000000"/>
          <w:sz w:val="28"/>
          <w:szCs w:val="28"/>
        </w:rPr>
        <w:t>综合评分法确定中选单位</w:t>
      </w:r>
      <w:r>
        <w:rPr>
          <w:rFonts w:hint="eastAsia" w:ascii="Times New Roman" w:hAnsi="Times New Roman" w:eastAsia="仿宋"/>
          <w:b/>
          <w:bCs/>
          <w:snapToGrid w:val="0"/>
          <w:sz w:val="28"/>
          <w:szCs w:val="28"/>
        </w:rPr>
        <w:t>，具体如下：</w:t>
      </w:r>
    </w:p>
    <w:p w14:paraId="0E4BE0E1">
      <w:pPr>
        <w:numPr>
          <w:ilvl w:val="0"/>
          <w:numId w:val="14"/>
        </w:num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参选</w:t>
      </w:r>
      <w:r>
        <w:rPr>
          <w:rFonts w:ascii="Times New Roman" w:hAnsi="Times New Roman" w:eastAsia="仿宋"/>
          <w:snapToGrid w:val="0"/>
        </w:rPr>
        <w:t>文件满足</w:t>
      </w:r>
      <w:r>
        <w:rPr>
          <w:rFonts w:hint="eastAsia" w:ascii="Times New Roman" w:hAnsi="Times New Roman" w:eastAsia="仿宋"/>
          <w:snapToGrid w:val="0"/>
        </w:rPr>
        <w:t>比选</w:t>
      </w:r>
      <w:r>
        <w:rPr>
          <w:rFonts w:ascii="Times New Roman" w:hAnsi="Times New Roman" w:eastAsia="仿宋"/>
          <w:snapToGrid w:val="0"/>
        </w:rPr>
        <w:t>文件全部实质性要求，且按照评审因素的量化指标评审得分（即</w:t>
      </w:r>
      <w:r>
        <w:rPr>
          <w:rFonts w:hint="eastAsia" w:ascii="Times New Roman" w:hAnsi="Times New Roman" w:eastAsia="仿宋"/>
          <w:snapToGrid w:val="0"/>
        </w:rPr>
        <w:t>比选</w:t>
      </w:r>
      <w:r>
        <w:rPr>
          <w:rFonts w:ascii="Times New Roman" w:hAnsi="Times New Roman" w:eastAsia="仿宋"/>
          <w:snapToGrid w:val="0"/>
        </w:rPr>
        <w:t>总得分）最高的</w:t>
      </w:r>
      <w:r>
        <w:rPr>
          <w:rFonts w:hint="eastAsia" w:ascii="Times New Roman" w:hAnsi="Times New Roman" w:eastAsia="仿宋"/>
          <w:snapToGrid w:val="0"/>
        </w:rPr>
        <w:t>参选人</w:t>
      </w:r>
      <w:r>
        <w:rPr>
          <w:rFonts w:ascii="Times New Roman" w:hAnsi="Times New Roman" w:eastAsia="仿宋"/>
          <w:snapToGrid w:val="0"/>
        </w:rPr>
        <w:t>为中</w:t>
      </w:r>
      <w:r>
        <w:rPr>
          <w:rFonts w:hint="eastAsia" w:ascii="Times New Roman" w:hAnsi="Times New Roman" w:eastAsia="仿宋"/>
          <w:snapToGrid w:val="0"/>
        </w:rPr>
        <w:t>选</w:t>
      </w:r>
      <w:r>
        <w:rPr>
          <w:rFonts w:ascii="Times New Roman" w:hAnsi="Times New Roman" w:eastAsia="仿宋"/>
          <w:snapToGrid w:val="0"/>
        </w:rPr>
        <w:t>候选人。</w:t>
      </w:r>
    </w:p>
    <w:p w14:paraId="1B81A699">
      <w:pPr>
        <w:numPr>
          <w:ilvl w:val="0"/>
          <w:numId w:val="14"/>
        </w:numPr>
        <w:autoSpaceDE w:val="0"/>
        <w:autoSpaceDN w:val="0"/>
        <w:spacing w:line="560" w:lineRule="exact"/>
        <w:ind w:firstLine="480" w:firstLineChars="200"/>
        <w:rPr>
          <w:rFonts w:hint="eastAsia" w:ascii="Times New Roman" w:hAnsi="Times New Roman" w:eastAsia="仿宋"/>
          <w:snapToGrid w:val="0"/>
        </w:rPr>
      </w:pPr>
      <w:r>
        <w:rPr>
          <w:rFonts w:hint="eastAsia" w:ascii="Times New Roman" w:hAnsi="Times New Roman" w:eastAsia="仿宋"/>
          <w:snapToGrid w:val="0"/>
        </w:rPr>
        <w:t>比选小组将对通过资格及实质响应性审查的各合格参选人，根据以下标准和方法进行评议。评分将按报价部分和技术商务部分分别进行，计算出各合格参选人的综合得分，综合得分最高者将被推荐为第一中选候选人，其余的递补中选候选人按综合得分从高到低的顺序依次排序，推第二、第三中选候选人。若有相同的最高综合得分，则其中参选报价低的参选人将被排序在前；若最高综合得分和参选报价仍相同，则由比选小组进行全员记名投票，得票数多的参选人将被排序在前。</w:t>
      </w:r>
    </w:p>
    <w:p w14:paraId="2C4C0DAD">
      <w:pPr>
        <w:autoSpaceDE w:val="0"/>
        <w:autoSpaceDN w:val="0"/>
        <w:spacing w:line="560" w:lineRule="exact"/>
        <w:ind w:left="480" w:leftChars="200"/>
        <w:rPr>
          <w:rFonts w:hint="eastAsia" w:ascii="Times New Roman" w:hAnsi="Times New Roman" w:eastAsia="仿宋"/>
          <w:snapToGrid w:val="0"/>
        </w:rPr>
      </w:pPr>
      <w:r>
        <w:rPr>
          <w:rFonts w:hint="eastAsia" w:ascii="Times New Roman" w:hAnsi="Times New Roman" w:eastAsia="仿宋"/>
          <w:snapToGrid w:val="0"/>
        </w:rPr>
        <w:t>各部分评分分值分布如下：</w:t>
      </w:r>
    </w:p>
    <w:p w14:paraId="5762E361">
      <w:pPr>
        <w:autoSpaceDE w:val="0"/>
        <w:autoSpaceDN w:val="0"/>
        <w:spacing w:line="560" w:lineRule="exact"/>
        <w:ind w:left="480" w:leftChars="200"/>
        <w:rPr>
          <w:rFonts w:hint="eastAsia" w:ascii="Times New Roman" w:hAnsi="Times New Roman" w:eastAsia="仿宋"/>
          <w:snapToGrid w:val="0"/>
          <w:highlight w:val="none"/>
        </w:rPr>
      </w:pPr>
      <w:r>
        <w:rPr>
          <w:rFonts w:hint="eastAsia" w:ascii="Times New Roman" w:hAnsi="Times New Roman" w:eastAsia="仿宋"/>
          <w:snapToGrid w:val="0"/>
          <w:highlight w:val="none"/>
        </w:rPr>
        <w:t>PF：报价部分评分　　　　　　　　　　　满分</w:t>
      </w:r>
      <w:r>
        <w:rPr>
          <w:rFonts w:hint="eastAsia" w:ascii="Times New Roman" w:hAnsi="Times New Roman" w:eastAsia="仿宋"/>
          <w:snapToGrid w:val="0"/>
          <w:highlight w:val="none"/>
          <w:lang w:val="en-US" w:eastAsia="zh-CN"/>
        </w:rPr>
        <w:t>5</w:t>
      </w:r>
      <w:r>
        <w:rPr>
          <w:rFonts w:hint="eastAsia" w:ascii="Times New Roman" w:hAnsi="Times New Roman" w:eastAsia="仿宋"/>
          <w:snapToGrid w:val="0"/>
          <w:highlight w:val="none"/>
        </w:rPr>
        <w:t>0分</w:t>
      </w:r>
    </w:p>
    <w:p w14:paraId="0D7086FE">
      <w:pPr>
        <w:autoSpaceDE w:val="0"/>
        <w:autoSpaceDN w:val="0"/>
        <w:spacing w:line="560" w:lineRule="exact"/>
        <w:ind w:left="480" w:leftChars="200"/>
        <w:rPr>
          <w:rFonts w:hint="eastAsia" w:ascii="Times New Roman" w:hAnsi="Times New Roman" w:eastAsia="仿宋"/>
          <w:snapToGrid w:val="0"/>
          <w:highlight w:val="none"/>
        </w:rPr>
      </w:pPr>
      <w:r>
        <w:rPr>
          <w:rFonts w:hint="eastAsia" w:ascii="Times New Roman" w:hAnsi="Times New Roman" w:eastAsia="仿宋"/>
          <w:snapToGrid w:val="0"/>
          <w:highlight w:val="none"/>
        </w:rPr>
        <w:t>PT：技术部分评分　　　　　　　　　　　满分</w:t>
      </w:r>
      <w:r>
        <w:rPr>
          <w:rFonts w:hint="eastAsia" w:ascii="Times New Roman" w:hAnsi="Times New Roman" w:eastAsia="仿宋"/>
          <w:snapToGrid w:val="0"/>
          <w:highlight w:val="none"/>
          <w:lang w:val="en-US" w:eastAsia="zh-CN"/>
        </w:rPr>
        <w:t>40</w:t>
      </w:r>
      <w:r>
        <w:rPr>
          <w:rFonts w:hint="eastAsia" w:ascii="Times New Roman" w:hAnsi="Times New Roman" w:eastAsia="仿宋"/>
          <w:snapToGrid w:val="0"/>
          <w:highlight w:val="none"/>
        </w:rPr>
        <w:t>分</w:t>
      </w:r>
    </w:p>
    <w:p w14:paraId="7263E4F0">
      <w:pPr>
        <w:autoSpaceDE w:val="0"/>
        <w:autoSpaceDN w:val="0"/>
        <w:spacing w:line="560" w:lineRule="exact"/>
        <w:ind w:left="480" w:leftChars="200"/>
        <w:rPr>
          <w:rFonts w:hint="eastAsia" w:ascii="Times New Roman" w:hAnsi="Times New Roman" w:eastAsia="仿宋"/>
          <w:snapToGrid w:val="0"/>
          <w:highlight w:val="none"/>
        </w:rPr>
      </w:pPr>
      <w:r>
        <w:rPr>
          <w:rFonts w:hint="eastAsia" w:ascii="Times New Roman" w:hAnsi="Times New Roman" w:eastAsia="仿宋"/>
          <w:snapToGrid w:val="0"/>
          <w:highlight w:val="none"/>
        </w:rPr>
        <w:t>PB：商务部分评分　　　　　　　　　　　满分1</w:t>
      </w:r>
      <w:r>
        <w:rPr>
          <w:rFonts w:hint="eastAsia" w:ascii="Times New Roman" w:hAnsi="Times New Roman" w:eastAsia="仿宋"/>
          <w:snapToGrid w:val="0"/>
          <w:highlight w:val="none"/>
          <w:lang w:val="en-US" w:eastAsia="zh-CN"/>
        </w:rPr>
        <w:t>0</w:t>
      </w:r>
      <w:r>
        <w:rPr>
          <w:rFonts w:hint="eastAsia" w:ascii="Times New Roman" w:hAnsi="Times New Roman" w:eastAsia="仿宋"/>
          <w:snapToGrid w:val="0"/>
          <w:highlight w:val="none"/>
        </w:rPr>
        <w:t>分</w:t>
      </w:r>
    </w:p>
    <w:p w14:paraId="5581E00B">
      <w:pPr>
        <w:autoSpaceDE w:val="0"/>
        <w:autoSpaceDN w:val="0"/>
        <w:spacing w:line="560" w:lineRule="exact"/>
        <w:ind w:firstLine="420"/>
        <w:rPr>
          <w:rFonts w:ascii="Times New Roman" w:hAnsi="Times New Roman" w:eastAsia="仿宋"/>
          <w:snapToGrid w:val="0"/>
          <w:highlight w:val="none"/>
        </w:rPr>
      </w:pPr>
      <w:r>
        <w:rPr>
          <w:rFonts w:hint="eastAsia" w:ascii="Times New Roman" w:hAnsi="Times New Roman" w:eastAsia="仿宋"/>
          <w:snapToGrid w:val="0"/>
          <w:highlight w:val="none"/>
        </w:rPr>
        <w:t>综合得分：P=PF+PT+PB</w:t>
      </w:r>
    </w:p>
    <w:p w14:paraId="2229A5E9">
      <w:pPr>
        <w:numPr>
          <w:ilvl w:val="0"/>
          <w:numId w:val="14"/>
        </w:numPr>
        <w:autoSpaceDE w:val="0"/>
        <w:autoSpaceDN w:val="0"/>
        <w:spacing w:line="560" w:lineRule="exact"/>
        <w:ind w:firstLine="480" w:firstLineChars="200"/>
        <w:rPr>
          <w:rFonts w:ascii="Times New Roman" w:hAnsi="Times New Roman" w:eastAsia="仿宋"/>
          <w:snapToGrid w:val="0"/>
          <w:highlight w:val="none"/>
        </w:rPr>
      </w:pPr>
      <w:r>
        <w:rPr>
          <w:rFonts w:hint="eastAsia" w:ascii="Times New Roman" w:hAnsi="Times New Roman" w:eastAsia="仿宋"/>
          <w:color w:val="000000"/>
          <w:highlight w:val="none"/>
        </w:rPr>
        <w:t>比选人不保证最低价中选。</w:t>
      </w:r>
    </w:p>
    <w:p w14:paraId="438755CA">
      <w:pPr>
        <w:numPr>
          <w:ilvl w:val="0"/>
          <w:numId w:val="14"/>
        </w:numPr>
        <w:autoSpaceDE w:val="0"/>
        <w:autoSpaceDN w:val="0"/>
        <w:spacing w:line="560" w:lineRule="exact"/>
        <w:ind w:firstLine="480" w:firstLineChars="200"/>
        <w:rPr>
          <w:rFonts w:ascii="Times New Roman" w:hAnsi="Times New Roman" w:eastAsia="仿宋"/>
          <w:snapToGrid w:val="0"/>
          <w:highlight w:val="none"/>
        </w:rPr>
      </w:pPr>
      <w:r>
        <w:rPr>
          <w:rFonts w:hint="eastAsia" w:ascii="Times New Roman" w:hAnsi="Times New Roman" w:eastAsia="仿宋"/>
          <w:snapToGrid w:val="0"/>
          <w:highlight w:val="none"/>
        </w:rPr>
        <w:t>合同包1</w:t>
      </w:r>
      <w:r>
        <w:rPr>
          <w:rFonts w:ascii="Times New Roman" w:hAnsi="Times New Roman" w:eastAsia="仿宋"/>
          <w:snapToGrid w:val="0"/>
          <w:highlight w:val="none"/>
        </w:rPr>
        <w:t>各项评审因素的设置如下：</w:t>
      </w:r>
    </w:p>
    <w:p w14:paraId="2E79D4C3">
      <w:pPr>
        <w:numPr>
          <w:ilvl w:val="0"/>
          <w:numId w:val="15"/>
        </w:numPr>
        <w:autoSpaceDE w:val="0"/>
        <w:autoSpaceDN w:val="0"/>
        <w:spacing w:line="560" w:lineRule="exact"/>
        <w:ind w:firstLine="480" w:firstLineChars="200"/>
        <w:rPr>
          <w:rFonts w:ascii="Times New Roman" w:hAnsi="Times New Roman" w:eastAsia="仿宋"/>
          <w:snapToGrid w:val="0"/>
          <w:highlight w:val="none"/>
        </w:rPr>
      </w:pPr>
      <w:r>
        <w:rPr>
          <w:rFonts w:ascii="Times New Roman" w:hAnsi="Times New Roman" w:eastAsia="仿宋"/>
          <w:snapToGrid w:val="0"/>
          <w:highlight w:val="none"/>
        </w:rPr>
        <w:t>价格项（</w:t>
      </w:r>
      <w:r>
        <w:rPr>
          <w:rFonts w:hint="eastAsia" w:ascii="Times New Roman" w:hAnsi="Times New Roman" w:eastAsia="仿宋"/>
          <w:snapToGrid w:val="0"/>
          <w:highlight w:val="none"/>
        </w:rPr>
        <w:t>PF</w:t>
      </w:r>
      <w:r>
        <w:rPr>
          <w:rFonts w:ascii="Times New Roman" w:hAnsi="Times New Roman" w:eastAsia="仿宋"/>
          <w:snapToGrid w:val="0"/>
          <w:highlight w:val="none"/>
        </w:rPr>
        <w:t>）满分为</w:t>
      </w:r>
      <w:r>
        <w:rPr>
          <w:rFonts w:hint="eastAsia" w:ascii="Times New Roman" w:hAnsi="Times New Roman" w:eastAsia="仿宋"/>
          <w:snapToGrid w:val="0"/>
          <w:highlight w:val="none"/>
          <w:lang w:val="en-US" w:eastAsia="zh-CN"/>
        </w:rPr>
        <w:t>50</w:t>
      </w:r>
      <w:r>
        <w:rPr>
          <w:rFonts w:ascii="Times New Roman" w:hAnsi="Times New Roman" w:eastAsia="仿宋"/>
          <w:snapToGrid w:val="0"/>
          <w:highlight w:val="none"/>
        </w:rPr>
        <w:t>分。</w:t>
      </w:r>
    </w:p>
    <w:p w14:paraId="025D62D9">
      <w:pPr>
        <w:autoSpaceDE w:val="0"/>
        <w:autoSpaceDN w:val="0"/>
        <w:spacing w:line="560" w:lineRule="exact"/>
        <w:ind w:firstLine="480" w:firstLineChars="200"/>
        <w:rPr>
          <w:rFonts w:hint="eastAsia" w:ascii="Times New Roman" w:hAnsi="Times New Roman" w:eastAsia="仿宋"/>
          <w:snapToGrid w:val="0"/>
          <w:highlight w:val="none"/>
        </w:rPr>
      </w:pPr>
      <w:r>
        <w:rPr>
          <w:rFonts w:hint="eastAsia" w:ascii="Times New Roman" w:hAnsi="Times New Roman" w:eastAsia="仿宋"/>
          <w:snapToGrid w:val="0"/>
          <w:highlight w:val="none"/>
        </w:rPr>
        <w:t>价格分采用平均价计算，即满足参选文件要求，各参选人报价的平均值作为参选基准价，其价格分为满分。参选人的价格分按照下列公式统一计算:</w:t>
      </w:r>
    </w:p>
    <w:p w14:paraId="4DEFB306">
      <w:pPr>
        <w:autoSpaceDE w:val="0"/>
        <w:autoSpaceDN w:val="0"/>
        <w:spacing w:line="560" w:lineRule="exact"/>
        <w:ind w:firstLine="480" w:firstLineChars="200"/>
        <w:rPr>
          <w:rFonts w:hint="eastAsia" w:ascii="Times New Roman" w:hAnsi="Times New Roman" w:eastAsia="仿宋"/>
          <w:snapToGrid w:val="0"/>
          <w:highlight w:val="none"/>
        </w:rPr>
      </w:pPr>
      <w:r>
        <w:rPr>
          <w:rFonts w:hint="eastAsia" w:ascii="Times New Roman" w:hAnsi="Times New Roman" w:eastAsia="仿宋"/>
          <w:snapToGrid w:val="0"/>
          <w:highlight w:val="none"/>
        </w:rPr>
        <w:t>价格分=</w:t>
      </w:r>
      <w:r>
        <w:rPr>
          <w:rFonts w:hint="eastAsia" w:ascii="Times New Roman" w:hAnsi="Times New Roman" w:eastAsia="仿宋"/>
          <w:snapToGrid w:val="0"/>
          <w:highlight w:val="none"/>
          <w:lang w:val="en-US" w:eastAsia="zh-CN"/>
        </w:rPr>
        <w:t>5</w:t>
      </w:r>
      <w:r>
        <w:rPr>
          <w:rFonts w:hint="eastAsia" w:ascii="Times New Roman" w:hAnsi="Times New Roman" w:eastAsia="仿宋"/>
          <w:snapToGrid w:val="0"/>
          <w:highlight w:val="none"/>
        </w:rPr>
        <w:t>0-|参选报价-参选基准价|/参选基准价×</w:t>
      </w:r>
      <w:r>
        <w:rPr>
          <w:rFonts w:hint="eastAsia" w:ascii="Times New Roman" w:hAnsi="Times New Roman" w:eastAsia="仿宋"/>
          <w:snapToGrid w:val="0"/>
          <w:highlight w:val="none"/>
          <w:lang w:val="en-US" w:eastAsia="zh-CN"/>
        </w:rPr>
        <w:t>25</w:t>
      </w:r>
      <w:r>
        <w:rPr>
          <w:rFonts w:hint="eastAsia" w:ascii="Times New Roman" w:hAnsi="Times New Roman" w:eastAsia="仿宋"/>
          <w:snapToGrid w:val="0"/>
          <w:highlight w:val="none"/>
        </w:rPr>
        <w:t>×Q</w:t>
      </w:r>
    </w:p>
    <w:p w14:paraId="15B9DD2A">
      <w:pPr>
        <w:autoSpaceDE w:val="0"/>
        <w:autoSpaceDN w:val="0"/>
        <w:spacing w:line="560" w:lineRule="exact"/>
        <w:ind w:firstLine="480" w:firstLineChars="200"/>
        <w:rPr>
          <w:rFonts w:ascii="Times New Roman" w:hAnsi="Times New Roman" w:eastAsia="仿宋"/>
          <w:snapToGrid w:val="0"/>
          <w:color w:val="FF0000"/>
          <w:highlight w:val="none"/>
        </w:rPr>
      </w:pPr>
      <w:r>
        <w:rPr>
          <w:rFonts w:hint="eastAsia" w:ascii="Times New Roman" w:hAnsi="Times New Roman" w:eastAsia="仿宋"/>
          <w:snapToGrid w:val="0"/>
          <w:highlight w:val="none"/>
        </w:rPr>
        <w:t>Q为折价分值，参选报价﹥参选基准价时，Q=1；反之，Q=0.5，价格项最低得分为0分。</w:t>
      </w:r>
    </w:p>
    <w:p w14:paraId="5BD387D8">
      <w:pPr>
        <w:pStyle w:val="21"/>
        <w:numPr>
          <w:ilvl w:val="0"/>
          <w:numId w:val="15"/>
        </w:numPr>
        <w:autoSpaceDE w:val="0"/>
        <w:autoSpaceDN w:val="0"/>
        <w:spacing w:line="560" w:lineRule="exact"/>
        <w:ind w:firstLine="480"/>
        <w:rPr>
          <w:rFonts w:ascii="Times New Roman" w:hAnsi="Times New Roman" w:eastAsia="仿宋"/>
          <w:snapToGrid w:val="0"/>
          <w:sz w:val="24"/>
          <w:szCs w:val="24"/>
          <w:highlight w:val="none"/>
        </w:rPr>
      </w:pPr>
      <w:r>
        <w:rPr>
          <w:rFonts w:ascii="Times New Roman" w:hAnsi="Times New Roman" w:eastAsia="仿宋"/>
          <w:snapToGrid w:val="0"/>
          <w:sz w:val="24"/>
          <w:szCs w:val="24"/>
          <w:highlight w:val="none"/>
        </w:rPr>
        <w:t>技术项（</w:t>
      </w:r>
      <w:r>
        <w:rPr>
          <w:rFonts w:hint="eastAsia" w:ascii="Times New Roman" w:hAnsi="Times New Roman" w:eastAsia="仿宋"/>
          <w:snapToGrid w:val="0"/>
          <w:sz w:val="24"/>
          <w:szCs w:val="24"/>
          <w:highlight w:val="none"/>
        </w:rPr>
        <w:t>PT</w:t>
      </w:r>
      <w:r>
        <w:rPr>
          <w:rFonts w:ascii="Times New Roman" w:hAnsi="Times New Roman" w:eastAsia="仿宋"/>
          <w:snapToGrid w:val="0"/>
          <w:sz w:val="24"/>
          <w:szCs w:val="24"/>
          <w:highlight w:val="none"/>
        </w:rPr>
        <w:t>）满分为</w:t>
      </w:r>
      <w:r>
        <w:rPr>
          <w:rFonts w:hint="eastAsia" w:ascii="Times New Roman" w:hAnsi="Times New Roman" w:eastAsia="仿宋"/>
          <w:snapToGrid w:val="0"/>
          <w:sz w:val="24"/>
          <w:szCs w:val="24"/>
          <w:highlight w:val="none"/>
          <w:lang w:val="en-US" w:eastAsia="zh-CN"/>
        </w:rPr>
        <w:t>40</w:t>
      </w:r>
      <w:r>
        <w:rPr>
          <w:rFonts w:ascii="Times New Roman" w:hAnsi="Times New Roman" w:eastAsia="仿宋"/>
          <w:snapToGrid w:val="0"/>
          <w:sz w:val="24"/>
          <w:szCs w:val="24"/>
          <w:highlight w:val="none"/>
        </w:rPr>
        <w:t>分。</w:t>
      </w:r>
    </w:p>
    <w:tbl>
      <w:tblPr>
        <w:tblStyle w:val="17"/>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2"/>
        <w:gridCol w:w="1165"/>
        <w:gridCol w:w="7035"/>
      </w:tblGrid>
      <w:tr w14:paraId="2AA13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12" w:type="pct"/>
            <w:vAlign w:val="center"/>
          </w:tcPr>
          <w:p w14:paraId="38F622B9">
            <w:pPr>
              <w:pStyle w:val="27"/>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rPr>
            </w:pPr>
            <w:r>
              <w:rPr>
                <w:rFonts w:hint="eastAsia" w:ascii="仿宋" w:hAnsi="仿宋" w:eastAsia="仿宋" w:cs="仿宋"/>
                <w:color w:val="auto"/>
                <w:kern w:val="0"/>
                <w:sz w:val="21"/>
                <w:szCs w:val="21"/>
                <w:highlight w:val="none"/>
              </w:rPr>
              <w:t>评审</w:t>
            </w:r>
            <w:r>
              <w:rPr>
                <w:rFonts w:hint="eastAsia" w:ascii="仿宋" w:hAnsi="仿宋" w:eastAsia="仿宋" w:cs="仿宋"/>
                <w:sz w:val="21"/>
                <w:szCs w:val="21"/>
                <w:highlight w:val="none"/>
              </w:rPr>
              <w:t>项目</w:t>
            </w:r>
          </w:p>
        </w:tc>
        <w:tc>
          <w:tcPr>
            <w:tcW w:w="609" w:type="pct"/>
            <w:vAlign w:val="center"/>
          </w:tcPr>
          <w:p w14:paraId="3D3CEDE6">
            <w:pPr>
              <w:pStyle w:val="27"/>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rPr>
            </w:pPr>
            <w:r>
              <w:rPr>
                <w:rFonts w:hint="eastAsia" w:ascii="仿宋" w:hAnsi="仿宋" w:eastAsia="仿宋" w:cs="仿宋"/>
                <w:color w:val="auto"/>
                <w:kern w:val="0"/>
                <w:sz w:val="21"/>
                <w:szCs w:val="21"/>
                <w:highlight w:val="none"/>
              </w:rPr>
              <w:t>评审</w:t>
            </w:r>
            <w:r>
              <w:rPr>
                <w:rFonts w:hint="eastAsia" w:ascii="仿宋" w:hAnsi="仿宋" w:eastAsia="仿宋" w:cs="仿宋"/>
                <w:sz w:val="21"/>
                <w:szCs w:val="21"/>
                <w:highlight w:val="none"/>
              </w:rPr>
              <w:t>分值</w:t>
            </w:r>
          </w:p>
        </w:tc>
        <w:tc>
          <w:tcPr>
            <w:tcW w:w="3678" w:type="pct"/>
            <w:vAlign w:val="center"/>
          </w:tcPr>
          <w:p w14:paraId="7029F13F">
            <w:pPr>
              <w:pStyle w:val="27"/>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rPr>
            </w:pPr>
            <w:r>
              <w:rPr>
                <w:rFonts w:hint="eastAsia" w:ascii="仿宋" w:hAnsi="仿宋" w:eastAsia="仿宋" w:cs="仿宋"/>
                <w:color w:val="auto"/>
                <w:kern w:val="0"/>
                <w:sz w:val="21"/>
                <w:szCs w:val="21"/>
                <w:highlight w:val="none"/>
              </w:rPr>
              <w:t>评审方法描述</w:t>
            </w:r>
          </w:p>
        </w:tc>
      </w:tr>
      <w:tr w14:paraId="6637B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96" w:hRule="exact"/>
        </w:trPr>
        <w:tc>
          <w:tcPr>
            <w:tcW w:w="712" w:type="pct"/>
            <w:vAlign w:val="center"/>
          </w:tcPr>
          <w:p w14:paraId="5FA60D0A">
            <w:pPr>
              <w:pStyle w:val="27"/>
              <w:keepNext w:val="0"/>
              <w:keepLines w:val="0"/>
              <w:pageBreakBefore w:val="0"/>
              <w:wordWrap/>
              <w:topLinePunct w:val="0"/>
              <w:bidi w:val="0"/>
              <w:spacing w:line="360" w:lineRule="auto"/>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1.技术和服务要求响应情况</w:t>
            </w:r>
          </w:p>
        </w:tc>
        <w:tc>
          <w:tcPr>
            <w:tcW w:w="609" w:type="pct"/>
            <w:vAlign w:val="center"/>
          </w:tcPr>
          <w:p w14:paraId="7D8C17AB">
            <w:pPr>
              <w:pStyle w:val="27"/>
              <w:keepNext w:val="0"/>
              <w:keepLines w:val="0"/>
              <w:pageBreakBefore w:val="0"/>
              <w:wordWrap/>
              <w:topLinePunct w:val="0"/>
              <w:bidi w:val="0"/>
              <w:spacing w:line="360" w:lineRule="auto"/>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40</w:t>
            </w:r>
          </w:p>
        </w:tc>
        <w:tc>
          <w:tcPr>
            <w:tcW w:w="3678" w:type="pct"/>
            <w:vAlign w:val="top"/>
          </w:tcPr>
          <w:p w14:paraId="273DF356">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eastAsia="zh-CN"/>
              </w:rPr>
              <w:t>参选人</w:t>
            </w:r>
            <w:r>
              <w:rPr>
                <w:rFonts w:hint="eastAsia" w:ascii="仿宋" w:hAnsi="仿宋" w:eastAsia="仿宋" w:cs="仿宋"/>
                <w:sz w:val="21"/>
                <w:szCs w:val="21"/>
                <w:highlight w:val="none"/>
              </w:rPr>
              <w:t>针对</w:t>
            </w:r>
            <w:r>
              <w:rPr>
                <w:rFonts w:hint="eastAsia" w:ascii="仿宋" w:hAnsi="仿宋" w:eastAsia="仿宋" w:cs="仿宋"/>
                <w:sz w:val="21"/>
                <w:szCs w:val="21"/>
                <w:highlight w:val="none"/>
                <w:lang w:val="en-US" w:eastAsia="zh-CN"/>
              </w:rPr>
              <w:t>参选</w:t>
            </w:r>
            <w:r>
              <w:rPr>
                <w:rFonts w:hint="eastAsia" w:ascii="仿宋" w:hAnsi="仿宋" w:eastAsia="仿宋" w:cs="仿宋"/>
                <w:sz w:val="21"/>
                <w:szCs w:val="21"/>
                <w:highlight w:val="none"/>
              </w:rPr>
              <w:t>文件“</w:t>
            </w:r>
            <w:r>
              <w:rPr>
                <w:rFonts w:hint="eastAsia" w:ascii="仿宋" w:hAnsi="仿宋" w:eastAsia="仿宋" w:cs="仿宋"/>
                <w:sz w:val="21"/>
                <w:szCs w:val="21"/>
                <w:highlight w:val="none"/>
                <w:lang w:val="en-US" w:eastAsia="zh-CN"/>
              </w:rPr>
              <w:t>技术要求</w:t>
            </w:r>
            <w:r>
              <w:rPr>
                <w:rFonts w:hint="eastAsia" w:ascii="仿宋" w:hAnsi="仿宋" w:eastAsia="仿宋" w:cs="仿宋"/>
                <w:sz w:val="21"/>
                <w:szCs w:val="21"/>
                <w:highlight w:val="none"/>
              </w:rPr>
              <w:t>”内容的响应、承诺情况，由评标委员会进行评分：标注★号为实质性条款（共</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项），任一项负偏离的为无效投标；标注▲号条款（共</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 xml:space="preserve">项）存在负偏离的，每负偏离一项扣 </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未标注★号、 ▲号的条款存在负偏离的，每负偏离一项扣</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满分40分，最低0分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w:t>
            </w:r>
          </w:p>
        </w:tc>
      </w:tr>
    </w:tbl>
    <w:p w14:paraId="3A703A67">
      <w:pPr>
        <w:numPr>
          <w:ilvl w:val="0"/>
          <w:numId w:val="15"/>
        </w:numPr>
        <w:autoSpaceDE w:val="0"/>
        <w:autoSpaceDN w:val="0"/>
        <w:spacing w:line="560" w:lineRule="exact"/>
        <w:ind w:firstLine="480" w:firstLineChars="200"/>
        <w:rPr>
          <w:rFonts w:ascii="Times New Roman" w:hAnsi="Times New Roman" w:eastAsia="仿宋"/>
          <w:snapToGrid w:val="0"/>
          <w:highlight w:val="none"/>
        </w:rPr>
      </w:pPr>
      <w:r>
        <w:rPr>
          <w:rFonts w:ascii="Times New Roman" w:hAnsi="Times New Roman" w:eastAsia="仿宋"/>
          <w:snapToGrid w:val="0"/>
          <w:highlight w:val="none"/>
        </w:rPr>
        <w:t>商务项（</w:t>
      </w:r>
      <w:r>
        <w:rPr>
          <w:rFonts w:hint="eastAsia" w:ascii="Times New Roman" w:hAnsi="Times New Roman" w:eastAsia="仿宋"/>
          <w:snapToGrid w:val="0"/>
          <w:highlight w:val="none"/>
        </w:rPr>
        <w:t>PB</w:t>
      </w:r>
      <w:r>
        <w:rPr>
          <w:rFonts w:ascii="Times New Roman" w:hAnsi="Times New Roman" w:eastAsia="仿宋"/>
          <w:snapToGrid w:val="0"/>
          <w:highlight w:val="none"/>
        </w:rPr>
        <w:t>）满分为</w:t>
      </w:r>
      <w:r>
        <w:rPr>
          <w:rFonts w:hint="eastAsia" w:ascii="Times New Roman" w:hAnsi="Times New Roman" w:eastAsia="仿宋"/>
          <w:snapToGrid w:val="0"/>
          <w:highlight w:val="none"/>
        </w:rPr>
        <w:t>1</w:t>
      </w:r>
      <w:r>
        <w:rPr>
          <w:rFonts w:hint="eastAsia" w:ascii="Times New Roman" w:hAnsi="Times New Roman" w:eastAsia="仿宋"/>
          <w:snapToGrid w:val="0"/>
          <w:highlight w:val="none"/>
          <w:lang w:val="en-US" w:eastAsia="zh-CN"/>
        </w:rPr>
        <w:t>0</w:t>
      </w:r>
      <w:r>
        <w:rPr>
          <w:rFonts w:ascii="Times New Roman" w:hAnsi="Times New Roman" w:eastAsia="仿宋"/>
          <w:snapToGrid w:val="0"/>
          <w:highlight w:val="none"/>
        </w:rPr>
        <w:t>分。</w:t>
      </w:r>
    </w:p>
    <w:tbl>
      <w:tblPr>
        <w:tblStyle w:val="17"/>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2"/>
        <w:gridCol w:w="1168"/>
        <w:gridCol w:w="7030"/>
      </w:tblGrid>
      <w:tr w14:paraId="602B5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7" w:hRule="exact"/>
        </w:trPr>
        <w:tc>
          <w:tcPr>
            <w:tcW w:w="712" w:type="pct"/>
            <w:shd w:val="clear" w:color="auto" w:fill="auto"/>
            <w:vAlign w:val="center"/>
          </w:tcPr>
          <w:p w14:paraId="6F2F787A">
            <w:pPr>
              <w:pStyle w:val="27"/>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lang w:val="en-US" w:eastAsia="zh-Hans"/>
              </w:rPr>
            </w:pPr>
            <w:r>
              <w:rPr>
                <w:rFonts w:hint="eastAsia" w:ascii="仿宋" w:hAnsi="仿宋" w:eastAsia="仿宋" w:cs="仿宋"/>
                <w:color w:val="auto"/>
                <w:kern w:val="0"/>
                <w:sz w:val="21"/>
                <w:szCs w:val="21"/>
                <w:highlight w:val="none"/>
              </w:rPr>
              <w:t>评审</w:t>
            </w:r>
            <w:r>
              <w:rPr>
                <w:rFonts w:hint="eastAsia" w:ascii="仿宋" w:hAnsi="仿宋" w:eastAsia="仿宋" w:cs="仿宋"/>
                <w:sz w:val="21"/>
                <w:szCs w:val="21"/>
                <w:highlight w:val="none"/>
              </w:rPr>
              <w:t>项目</w:t>
            </w:r>
          </w:p>
        </w:tc>
        <w:tc>
          <w:tcPr>
            <w:tcW w:w="611" w:type="pct"/>
            <w:shd w:val="clear" w:color="auto" w:fill="auto"/>
            <w:vAlign w:val="center"/>
          </w:tcPr>
          <w:p w14:paraId="201ACCCD">
            <w:pPr>
              <w:pStyle w:val="27"/>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lang w:val="en-US" w:eastAsia="zh-Hans"/>
              </w:rPr>
            </w:pPr>
            <w:r>
              <w:rPr>
                <w:rFonts w:hint="eastAsia" w:ascii="仿宋" w:hAnsi="仿宋" w:eastAsia="仿宋" w:cs="仿宋"/>
                <w:color w:val="auto"/>
                <w:kern w:val="0"/>
                <w:sz w:val="21"/>
                <w:szCs w:val="21"/>
                <w:highlight w:val="none"/>
              </w:rPr>
              <w:t>评审</w:t>
            </w:r>
            <w:r>
              <w:rPr>
                <w:rFonts w:hint="eastAsia" w:ascii="仿宋" w:hAnsi="仿宋" w:eastAsia="仿宋" w:cs="仿宋"/>
                <w:sz w:val="21"/>
                <w:szCs w:val="21"/>
                <w:highlight w:val="none"/>
              </w:rPr>
              <w:t>分值</w:t>
            </w:r>
          </w:p>
        </w:tc>
        <w:tc>
          <w:tcPr>
            <w:tcW w:w="3676" w:type="pct"/>
            <w:shd w:val="clear" w:color="auto" w:fill="auto"/>
            <w:vAlign w:val="center"/>
          </w:tcPr>
          <w:p w14:paraId="052FDB3B">
            <w:pPr>
              <w:pStyle w:val="27"/>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lang w:val="en-US" w:eastAsia="zh-Hans"/>
              </w:rPr>
            </w:pPr>
            <w:r>
              <w:rPr>
                <w:rFonts w:hint="eastAsia" w:ascii="仿宋" w:hAnsi="仿宋" w:eastAsia="仿宋" w:cs="仿宋"/>
                <w:color w:val="auto"/>
                <w:kern w:val="0"/>
                <w:sz w:val="21"/>
                <w:szCs w:val="21"/>
                <w:highlight w:val="none"/>
              </w:rPr>
              <w:t>评审方法描述</w:t>
            </w:r>
          </w:p>
        </w:tc>
      </w:tr>
      <w:tr w14:paraId="27934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58" w:hRule="exact"/>
        </w:trPr>
        <w:tc>
          <w:tcPr>
            <w:tcW w:w="712" w:type="pct"/>
            <w:vAlign w:val="center"/>
          </w:tcPr>
          <w:p w14:paraId="3124A027">
            <w:pPr>
              <w:pStyle w:val="27"/>
              <w:keepNext w:val="0"/>
              <w:keepLines w:val="0"/>
              <w:pageBreakBefore w:val="0"/>
              <w:wordWrap/>
              <w:topLinePunct w:val="0"/>
              <w:bidi w:val="0"/>
              <w:spacing w:line="360" w:lineRule="auto"/>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w:t>
            </w:r>
            <w:r>
              <w:rPr>
                <w:rFonts w:hint="eastAsia" w:ascii="仿宋" w:hAnsi="仿宋" w:eastAsia="仿宋" w:cs="仿宋"/>
                <w:sz w:val="20"/>
                <w:szCs w:val="20"/>
                <w:highlight w:val="none"/>
              </w:rPr>
              <w:t>．</w:t>
            </w:r>
            <w:r>
              <w:rPr>
                <w:rFonts w:hint="eastAsia" w:ascii="仿宋" w:hAnsi="仿宋" w:eastAsia="仿宋" w:cs="仿宋"/>
                <w:sz w:val="20"/>
                <w:szCs w:val="20"/>
                <w:highlight w:val="none"/>
                <w:lang w:val="en-US" w:eastAsia="zh-CN"/>
              </w:rPr>
              <w:t>服务响应</w:t>
            </w:r>
          </w:p>
        </w:tc>
        <w:tc>
          <w:tcPr>
            <w:tcW w:w="611" w:type="pct"/>
            <w:vAlign w:val="center"/>
          </w:tcPr>
          <w:p w14:paraId="2F347F01">
            <w:pPr>
              <w:pStyle w:val="27"/>
              <w:keepNext w:val="0"/>
              <w:keepLines w:val="0"/>
              <w:pageBreakBefore w:val="0"/>
              <w:wordWrap/>
              <w:topLinePunct w:val="0"/>
              <w:bidi w:val="0"/>
              <w:spacing w:line="360" w:lineRule="auto"/>
              <w:jc w:val="center"/>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3</w:t>
            </w:r>
          </w:p>
        </w:tc>
        <w:tc>
          <w:tcPr>
            <w:tcW w:w="3676" w:type="pct"/>
            <w:vAlign w:val="center"/>
          </w:tcPr>
          <w:p w14:paraId="100AC9B7">
            <w:pPr>
              <w:keepNext w:val="0"/>
              <w:keepLines w:val="0"/>
              <w:pageBreakBefore w:val="0"/>
              <w:wordWrap/>
              <w:topLinePunct w:val="0"/>
              <w:bidi w:val="0"/>
              <w:spacing w:line="360" w:lineRule="auto"/>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提供承诺函（格式自拟），</w:t>
            </w:r>
            <w:r>
              <w:rPr>
                <w:rFonts w:hint="eastAsia" w:ascii="仿宋" w:hAnsi="仿宋" w:eastAsia="仿宋" w:cs="仿宋"/>
                <w:sz w:val="20"/>
                <w:szCs w:val="20"/>
                <w:highlight w:val="none"/>
                <w:lang w:eastAsia="zh-CN"/>
              </w:rPr>
              <w:t>参选人</w:t>
            </w:r>
            <w:r>
              <w:rPr>
                <w:rFonts w:hint="eastAsia" w:ascii="仿宋" w:hAnsi="仿宋" w:eastAsia="仿宋" w:cs="仿宋"/>
                <w:sz w:val="20"/>
                <w:szCs w:val="20"/>
                <w:highlight w:val="none"/>
              </w:rPr>
              <w:t>承诺</w:t>
            </w:r>
            <w:r>
              <w:rPr>
                <w:rFonts w:hint="eastAsia" w:ascii="仿宋" w:hAnsi="仿宋" w:eastAsia="仿宋" w:cs="仿宋"/>
                <w:sz w:val="20"/>
                <w:szCs w:val="20"/>
                <w:highlight w:val="none"/>
                <w:lang w:val="en-US" w:eastAsia="zh-CN"/>
              </w:rPr>
              <w:t>中选</w:t>
            </w:r>
            <w:r>
              <w:rPr>
                <w:rFonts w:hint="eastAsia" w:ascii="仿宋" w:hAnsi="仿宋" w:eastAsia="仿宋" w:cs="仿宋"/>
                <w:sz w:val="20"/>
                <w:szCs w:val="20"/>
                <w:highlight w:val="none"/>
              </w:rPr>
              <w:t>后若在质保期间发生故障，提供7×24小时的的接受申告，</w:t>
            </w:r>
            <w:r>
              <w:rPr>
                <w:rFonts w:hint="eastAsia" w:ascii="仿宋" w:hAnsi="仿宋" w:eastAsia="仿宋" w:cs="仿宋"/>
                <w:sz w:val="20"/>
                <w:szCs w:val="20"/>
                <w:highlight w:val="none"/>
                <w:lang w:val="en-US" w:eastAsia="zh-CN"/>
              </w:rPr>
              <w:t>在</w:t>
            </w:r>
            <w:r>
              <w:rPr>
                <w:rFonts w:hint="eastAsia" w:ascii="仿宋" w:hAnsi="仿宋" w:eastAsia="仿宋" w:cs="仿宋"/>
                <w:sz w:val="20"/>
                <w:szCs w:val="20"/>
                <w:highlight w:val="none"/>
              </w:rPr>
              <w:t>接到现场故障处理通知后4个小时内到达现场处理，得3分；在接到故障通知后6个小时内到达现场处理，得2分；接到故障通知后8个小时内到达现场处理，得1分。其余不得分。（满分</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w:t>
            </w:r>
          </w:p>
        </w:tc>
      </w:tr>
      <w:tr w14:paraId="7CD49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84" w:hRule="exact"/>
        </w:trPr>
        <w:tc>
          <w:tcPr>
            <w:tcW w:w="712" w:type="pct"/>
            <w:vAlign w:val="center"/>
          </w:tcPr>
          <w:p w14:paraId="1AC9C872">
            <w:pPr>
              <w:pStyle w:val="27"/>
              <w:keepNext w:val="0"/>
              <w:keepLines w:val="0"/>
              <w:pageBreakBefore w:val="0"/>
              <w:wordWrap/>
              <w:topLinePunct w:val="0"/>
              <w:bidi w:val="0"/>
              <w:spacing w:line="360" w:lineRule="auto"/>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．绿色智能制造</w:t>
            </w:r>
          </w:p>
        </w:tc>
        <w:tc>
          <w:tcPr>
            <w:tcW w:w="611" w:type="pct"/>
            <w:vAlign w:val="center"/>
          </w:tcPr>
          <w:p w14:paraId="16673385">
            <w:pPr>
              <w:pStyle w:val="27"/>
              <w:keepNext w:val="0"/>
              <w:keepLines w:val="0"/>
              <w:pageBreakBefore w:val="0"/>
              <w:wordWrap/>
              <w:topLinePunct w:val="0"/>
              <w:bidi w:val="0"/>
              <w:spacing w:line="360" w:lineRule="auto"/>
              <w:jc w:val="center"/>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4</w:t>
            </w:r>
          </w:p>
        </w:tc>
        <w:tc>
          <w:tcPr>
            <w:tcW w:w="3676" w:type="pct"/>
            <w:vAlign w:val="center"/>
          </w:tcPr>
          <w:p w14:paraId="08C7AF69">
            <w:pPr>
              <w:pStyle w:val="7"/>
              <w:numPr>
                <w:ilvl w:val="0"/>
                <w:numId w:val="0"/>
              </w:numPr>
              <w:spacing w:beforeLines="0" w:afterLines="0" w:line="360" w:lineRule="auto"/>
              <w:rPr>
                <w:rFonts w:hint="eastAsia" w:ascii="仿宋" w:hAnsi="仿宋" w:eastAsia="仿宋" w:cs="仿宋"/>
                <w:sz w:val="20"/>
                <w:szCs w:val="20"/>
                <w:highlight w:val="none"/>
              </w:rPr>
            </w:pPr>
            <w:r>
              <w:rPr>
                <w:rFonts w:hint="eastAsia" w:ascii="仿宋" w:hAnsi="仿宋" w:eastAsia="仿宋" w:cs="仿宋"/>
                <w:kern w:val="0"/>
                <w:sz w:val="20"/>
                <w:szCs w:val="20"/>
                <w:highlight w:val="none"/>
                <w:lang w:val="en-US" w:eastAsia="zh-CN" w:bidi="ar-SA"/>
              </w:rPr>
              <w:t>为响应国家绿色环保、低碳节能的绿色发展战略，LED大屏幕制造商获得国家相关主管部门颁发的绿色工厂评定或工业产品绿色设计示范企业；获得智能制造能力成熟度认定证书；满足其中1项得2分，全部满足得4分。</w:t>
            </w:r>
            <w:r>
              <w:rPr>
                <w:rFonts w:hint="eastAsia" w:ascii="仿宋" w:hAnsi="仿宋" w:eastAsia="仿宋" w:cs="仿宋"/>
                <w:sz w:val="20"/>
                <w:szCs w:val="20"/>
                <w:highlight w:val="none"/>
              </w:rPr>
              <w:t>（满分</w:t>
            </w:r>
            <w:r>
              <w:rPr>
                <w:rFonts w:hint="eastAsia" w:ascii="仿宋" w:hAnsi="仿宋" w:eastAsia="仿宋" w:cs="仿宋"/>
                <w:sz w:val="20"/>
                <w:szCs w:val="20"/>
                <w:highlight w:val="none"/>
                <w:lang w:val="en-US" w:eastAsia="zh-CN"/>
              </w:rPr>
              <w:t>4</w:t>
            </w:r>
            <w:r>
              <w:rPr>
                <w:rFonts w:hint="eastAsia" w:ascii="仿宋" w:hAnsi="仿宋" w:eastAsia="仿宋" w:cs="仿宋"/>
                <w:sz w:val="20"/>
                <w:szCs w:val="20"/>
                <w:highlight w:val="none"/>
              </w:rPr>
              <w:t>分）</w:t>
            </w:r>
          </w:p>
        </w:tc>
      </w:tr>
      <w:tr w14:paraId="5AE0F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68" w:hRule="exact"/>
        </w:trPr>
        <w:tc>
          <w:tcPr>
            <w:tcW w:w="712" w:type="pct"/>
            <w:vAlign w:val="center"/>
          </w:tcPr>
          <w:p w14:paraId="3F354F69">
            <w:pPr>
              <w:pStyle w:val="27"/>
              <w:keepNext w:val="0"/>
              <w:keepLines w:val="0"/>
              <w:pageBreakBefore w:val="0"/>
              <w:numPr>
                <w:ilvl w:val="0"/>
                <w:numId w:val="0"/>
              </w:numPr>
              <w:wordWrap/>
              <w:topLinePunct w:val="0"/>
              <w:bidi w:val="0"/>
              <w:spacing w:line="360" w:lineRule="auto"/>
              <w:ind w:leftChars="0"/>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 售后服务</w:t>
            </w:r>
          </w:p>
        </w:tc>
        <w:tc>
          <w:tcPr>
            <w:tcW w:w="611" w:type="pct"/>
            <w:vAlign w:val="center"/>
          </w:tcPr>
          <w:p w14:paraId="5B176604">
            <w:pPr>
              <w:pStyle w:val="27"/>
              <w:keepNext w:val="0"/>
              <w:keepLines w:val="0"/>
              <w:pageBreakBefore w:val="0"/>
              <w:wordWrap/>
              <w:topLinePunct w:val="0"/>
              <w:bidi w:val="0"/>
              <w:spacing w:line="360" w:lineRule="auto"/>
              <w:jc w:val="center"/>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w:t>
            </w:r>
          </w:p>
        </w:tc>
        <w:tc>
          <w:tcPr>
            <w:tcW w:w="3676" w:type="pct"/>
            <w:vAlign w:val="center"/>
          </w:tcPr>
          <w:p w14:paraId="1EFAA2B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20"/>
                <w:szCs w:val="20"/>
                <w:highlight w:val="none"/>
                <w:lang w:val="en-US" w:eastAsia="zh-CN"/>
              </w:rPr>
            </w:pPr>
            <w:r>
              <w:rPr>
                <w:rFonts w:hint="eastAsia" w:ascii="仿宋" w:hAnsi="仿宋" w:eastAsia="仿宋" w:cs="仿宋"/>
                <w:kern w:val="0"/>
                <w:sz w:val="20"/>
                <w:szCs w:val="20"/>
                <w:highlight w:val="none"/>
                <w:lang w:val="en-US" w:eastAsia="zh-CN" w:bidi="ar-SA"/>
              </w:rPr>
              <w:t>LED显示屏制造商具有售后服务相关认证（提供软件界面查询截图证明）：① 具有软件服务平台（不限于官网、微信及支付宝等），②具有服务申请、服务进度查询功能、维修认证工程师认证情况查询；③具有在线客服咨询服务。以上满足其中1项得1分，全部满足得3分。（满分3分）</w:t>
            </w:r>
          </w:p>
        </w:tc>
      </w:tr>
    </w:tbl>
    <w:p w14:paraId="58780567">
      <w:pPr>
        <w:pStyle w:val="23"/>
      </w:pPr>
    </w:p>
    <w:p w14:paraId="3EABE92B">
      <w:pPr>
        <w:autoSpaceDE w:val="0"/>
        <w:autoSpaceDN w:val="0"/>
        <w:spacing w:line="560" w:lineRule="exact"/>
        <w:ind w:firstLine="562" w:firstLineChars="200"/>
        <w:rPr>
          <w:rFonts w:ascii="Times New Roman" w:hAnsi="Times New Roman" w:eastAsia="仿宋"/>
          <w:b/>
          <w:bCs/>
          <w:snapToGrid w:val="0"/>
          <w:sz w:val="28"/>
          <w:szCs w:val="28"/>
        </w:rPr>
      </w:pPr>
      <w:r>
        <w:rPr>
          <w:rFonts w:hint="eastAsia" w:ascii="Times New Roman" w:hAnsi="Times New Roman" w:eastAsia="仿宋"/>
          <w:b/>
          <w:bCs/>
          <w:snapToGrid w:val="0"/>
          <w:sz w:val="28"/>
          <w:szCs w:val="28"/>
        </w:rPr>
        <w:t>3.2 评选原则</w:t>
      </w:r>
    </w:p>
    <w:p w14:paraId="13A65348">
      <w:pPr>
        <w:spacing w:line="560" w:lineRule="exact"/>
        <w:ind w:firstLine="480" w:firstLineChars="200"/>
        <w:rPr>
          <w:rFonts w:ascii="Times New Roman" w:hAnsi="Times New Roman" w:eastAsia="仿宋"/>
          <w:color w:val="000000"/>
        </w:rPr>
      </w:pPr>
      <w:bookmarkStart w:id="278" w:name="_Toc22866"/>
      <w:bookmarkStart w:id="279" w:name="_Toc7348"/>
      <w:bookmarkStart w:id="280" w:name="_Toc1596"/>
      <w:bookmarkStart w:id="281" w:name="_Toc567"/>
      <w:bookmarkStart w:id="282" w:name="_Toc91421112"/>
      <w:bookmarkStart w:id="283" w:name="_Toc20498"/>
      <w:bookmarkStart w:id="284" w:name="_Toc5462"/>
      <w:bookmarkStart w:id="285" w:name="_Toc31870"/>
      <w:r>
        <w:rPr>
          <w:rFonts w:hint="eastAsia" w:ascii="Times New Roman" w:hAnsi="Times New Roman" w:eastAsia="仿宋"/>
          <w:color w:val="000000"/>
        </w:rPr>
        <w:t>3.2.1比选小组负责审查参选文件是否符合自主比选文件的要求。比选小组认为必要时，可向参选人进行质疑并要求其解释。比选小组有权决定全部或部分废选。</w:t>
      </w:r>
    </w:p>
    <w:p w14:paraId="010530C0">
      <w:pPr>
        <w:spacing w:line="560" w:lineRule="exact"/>
        <w:ind w:firstLine="480" w:firstLineChars="200"/>
        <w:rPr>
          <w:rFonts w:ascii="Times New Roman" w:hAnsi="Times New Roman" w:eastAsia="仿宋"/>
          <w:color w:val="000000"/>
        </w:rPr>
      </w:pPr>
      <w:r>
        <w:rPr>
          <w:rFonts w:hint="eastAsia" w:ascii="Times New Roman" w:hAnsi="Times New Roman" w:eastAsia="仿宋"/>
          <w:color w:val="000000"/>
        </w:rPr>
        <w:t>3.2.2比选小组就所有参选文件是否对自主比选文件的实质性要求做出完全响应进行审查，确定合格参选人。</w:t>
      </w:r>
    </w:p>
    <w:p w14:paraId="1DA9E77C">
      <w:pPr>
        <w:spacing w:line="560" w:lineRule="exact"/>
        <w:ind w:firstLine="480" w:firstLineChars="200"/>
        <w:rPr>
          <w:rFonts w:ascii="Times New Roman" w:hAnsi="Times New Roman" w:eastAsia="仿宋"/>
          <w:color w:val="000000"/>
        </w:rPr>
      </w:pPr>
      <w:r>
        <w:rPr>
          <w:rFonts w:hint="eastAsia" w:ascii="Times New Roman" w:hAnsi="Times New Roman" w:eastAsia="仿宋"/>
          <w:color w:val="000000"/>
        </w:rPr>
        <w:t>3.2.3比选前后，比选人将视情况需要再考虑是否安排比选小组与参选人双方作技术和商务交流，届时比选小组将对参选文件中有关问题分别向参选人进行询问，各参选人应予以认真答复。比选人认为重要或复杂问题的回答须以书面形式，并经参选人法定代表人或参选代表签署。参选人的回答文件将作为“参选文件”的组成部分。</w:t>
      </w:r>
    </w:p>
    <w:p w14:paraId="55AE39C9">
      <w:pPr>
        <w:pStyle w:val="3"/>
        <w:widowControl/>
        <w:spacing w:before="0" w:after="0" w:line="560" w:lineRule="exact"/>
        <w:ind w:left="576"/>
        <w:jc w:val="left"/>
        <w:rPr>
          <w:rFonts w:ascii="Times New Roman" w:hAnsi="Times New Roman" w:eastAsia="仿宋"/>
        </w:rPr>
      </w:pPr>
      <w:bookmarkStart w:id="286" w:name="_Toc9082"/>
      <w:bookmarkStart w:id="287" w:name="_Toc8452"/>
      <w:bookmarkStart w:id="288" w:name="_Toc28930"/>
      <w:r>
        <w:rPr>
          <w:rFonts w:hint="eastAsia" w:ascii="Times New Roman" w:hAnsi="Times New Roman" w:eastAsia="仿宋"/>
        </w:rPr>
        <w:t>四、以下情况作废选处理</w:t>
      </w:r>
      <w:bookmarkEnd w:id="277"/>
      <w:bookmarkEnd w:id="278"/>
      <w:bookmarkEnd w:id="279"/>
      <w:bookmarkEnd w:id="280"/>
      <w:bookmarkEnd w:id="281"/>
      <w:bookmarkEnd w:id="282"/>
      <w:bookmarkEnd w:id="283"/>
      <w:bookmarkEnd w:id="284"/>
      <w:bookmarkEnd w:id="285"/>
      <w:bookmarkEnd w:id="286"/>
      <w:bookmarkEnd w:id="287"/>
      <w:bookmarkEnd w:id="288"/>
    </w:p>
    <w:p w14:paraId="12AF237B">
      <w:pPr>
        <w:numPr>
          <w:ilvl w:val="0"/>
          <w:numId w:val="16"/>
        </w:num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对比选文件提出的实质性要求和条件，参选文件未能在实质上响应的。</w:t>
      </w:r>
    </w:p>
    <w:p w14:paraId="6D76739E">
      <w:pPr>
        <w:numPr>
          <w:ilvl w:val="0"/>
          <w:numId w:val="16"/>
        </w:num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参选文件存在重大偏差的。</w:t>
      </w:r>
    </w:p>
    <w:p w14:paraId="54662C1C">
      <w:pPr>
        <w:numPr>
          <w:ilvl w:val="0"/>
          <w:numId w:val="16"/>
        </w:num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未按规定格式要求编制参选文件的，或未对参选文件密封且加盖公章的。</w:t>
      </w:r>
    </w:p>
    <w:p w14:paraId="74681D4A">
      <w:pPr>
        <w:numPr>
          <w:ilvl w:val="0"/>
          <w:numId w:val="16"/>
        </w:num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违反规定影响开选、比选工作或采取其他方式对比选人施加影响的。</w:t>
      </w:r>
    </w:p>
    <w:p w14:paraId="642C3808">
      <w:pPr>
        <w:numPr>
          <w:ilvl w:val="0"/>
          <w:numId w:val="16"/>
        </w:num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参选人串选、相互勾结故意压低价格以排挤竞争对手违背公平竞争的。</w:t>
      </w:r>
    </w:p>
    <w:p w14:paraId="41168193">
      <w:pPr>
        <w:numPr>
          <w:ilvl w:val="0"/>
          <w:numId w:val="16"/>
        </w:num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法律法规或本比选文件规定的其他情形。</w:t>
      </w:r>
    </w:p>
    <w:p w14:paraId="34467FB8">
      <w:pPr>
        <w:pStyle w:val="3"/>
        <w:widowControl/>
        <w:spacing w:before="0" w:after="0" w:line="560" w:lineRule="exact"/>
        <w:ind w:left="576"/>
        <w:jc w:val="left"/>
        <w:rPr>
          <w:rFonts w:ascii="Times New Roman" w:hAnsi="Times New Roman" w:eastAsia="仿宋"/>
        </w:rPr>
      </w:pPr>
      <w:bookmarkStart w:id="289" w:name="_Toc29299"/>
      <w:bookmarkStart w:id="290" w:name="_Toc14247"/>
      <w:bookmarkStart w:id="291" w:name="_Toc91421113"/>
      <w:bookmarkStart w:id="292" w:name="_Toc2126"/>
      <w:bookmarkStart w:id="293" w:name="_Toc7585"/>
      <w:bookmarkStart w:id="294" w:name="_Toc28395"/>
      <w:bookmarkStart w:id="295" w:name="_Toc21885"/>
      <w:bookmarkStart w:id="296" w:name="_Toc13024"/>
      <w:bookmarkStart w:id="297" w:name="_Toc26931"/>
      <w:bookmarkStart w:id="298" w:name="_Toc664"/>
      <w:bookmarkStart w:id="299" w:name="_Toc14595"/>
      <w:bookmarkStart w:id="300" w:name="_Toc22426"/>
      <w:r>
        <w:rPr>
          <w:rFonts w:hint="eastAsia" w:ascii="Times New Roman" w:hAnsi="Times New Roman" w:eastAsia="仿宋"/>
        </w:rPr>
        <w:t>五、评选</w:t>
      </w:r>
      <w:bookmarkEnd w:id="289"/>
      <w:bookmarkEnd w:id="290"/>
      <w:bookmarkEnd w:id="291"/>
      <w:bookmarkEnd w:id="292"/>
      <w:bookmarkEnd w:id="293"/>
      <w:bookmarkEnd w:id="294"/>
      <w:bookmarkEnd w:id="295"/>
      <w:bookmarkEnd w:id="296"/>
      <w:bookmarkEnd w:id="297"/>
      <w:bookmarkEnd w:id="298"/>
      <w:bookmarkEnd w:id="299"/>
      <w:bookmarkEnd w:id="300"/>
    </w:p>
    <w:p w14:paraId="02A19A40">
      <w:p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1. 比选人将在参选文件截止日期后另行选择开选时间，参选人选定工作在比选人有关部门监督下，由比选人按照有关规定组建的比选小组负责。</w:t>
      </w:r>
    </w:p>
    <w:p w14:paraId="7B1396E1">
      <w:pPr>
        <w:autoSpaceDE w:val="0"/>
        <w:autoSpaceDN w:val="0"/>
        <w:spacing w:line="560" w:lineRule="exact"/>
        <w:ind w:firstLine="480" w:firstLineChars="200"/>
        <w:rPr>
          <w:rFonts w:ascii="Times New Roman" w:hAnsi="Times New Roman"/>
          <w:snapToGrid w:val="0"/>
        </w:rPr>
      </w:pPr>
      <w:r>
        <w:rPr>
          <w:rFonts w:hint="eastAsia" w:ascii="Times New Roman" w:hAnsi="Times New Roman" w:eastAsia="仿宋"/>
          <w:snapToGrid w:val="0"/>
        </w:rPr>
        <w:t>2. 比选人将做比选记录。</w:t>
      </w:r>
      <w:r>
        <w:rPr>
          <w:rFonts w:ascii="Times New Roman" w:hAnsi="Times New Roman"/>
          <w:snapToGrid w:val="0"/>
        </w:rPr>
        <w:br w:type="page"/>
      </w:r>
    </w:p>
    <w:p w14:paraId="740F9663">
      <w:pPr>
        <w:numPr>
          <w:ilvl w:val="0"/>
          <w:numId w:val="9"/>
        </w:numPr>
        <w:jc w:val="center"/>
        <w:outlineLvl w:val="0"/>
        <w:rPr>
          <w:rFonts w:hint="eastAsia" w:ascii="Times New Roman" w:hAnsi="Times New Roman" w:eastAsia="仿宋" w:cs="Arial"/>
          <w:b/>
          <w:bCs/>
          <w:kern w:val="2"/>
          <w:sz w:val="44"/>
          <w:szCs w:val="44"/>
        </w:rPr>
      </w:pPr>
      <w:bookmarkStart w:id="301" w:name="_Toc6811"/>
      <w:bookmarkStart w:id="302" w:name="_Toc9926"/>
      <w:bookmarkStart w:id="303" w:name="_Toc25171"/>
      <w:bookmarkStart w:id="304" w:name="_Toc32717"/>
      <w:bookmarkStart w:id="305" w:name="_Toc15410"/>
      <w:bookmarkStart w:id="306" w:name="_Toc7434"/>
      <w:bookmarkStart w:id="307" w:name="_Toc5923"/>
      <w:bookmarkStart w:id="308" w:name="_Toc21779"/>
      <w:bookmarkStart w:id="309" w:name="_Toc8032"/>
      <w:bookmarkStart w:id="310" w:name="_Toc24899"/>
      <w:bookmarkStart w:id="311" w:name="_Toc27056"/>
      <w:bookmarkStart w:id="312" w:name="_Toc486321060"/>
      <w:bookmarkStart w:id="313" w:name="_Toc91421114"/>
      <w:r>
        <w:rPr>
          <w:rFonts w:hint="eastAsia" w:ascii="Times New Roman" w:hAnsi="Times New Roman" w:eastAsia="仿宋" w:cs="Arial"/>
          <w:b/>
          <w:bCs/>
          <w:kern w:val="2"/>
          <w:sz w:val="44"/>
          <w:szCs w:val="44"/>
        </w:rPr>
        <w:t>合同授予</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5D0B2D12">
      <w:pPr>
        <w:spacing w:line="560" w:lineRule="exact"/>
        <w:rPr>
          <w:rFonts w:ascii="Times New Roman" w:hAnsi="Times New Roman"/>
          <w:szCs w:val="28"/>
        </w:rPr>
      </w:pPr>
    </w:p>
    <w:p w14:paraId="72037CE1">
      <w:p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1. 比选人将把合同授予中选人；在授予前，仍需进行资格审查。</w:t>
      </w:r>
    </w:p>
    <w:p w14:paraId="4B104F23">
      <w:p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2. 中选人确定后，比选人将通知中选人。</w:t>
      </w:r>
      <w:r>
        <w:rPr>
          <w:rFonts w:hint="eastAsia" w:ascii="Times New Roman" w:hAnsi="Times New Roman" w:eastAsia="仿宋"/>
          <w:snapToGrid w:val="0"/>
          <w:color w:val="000000"/>
        </w:rPr>
        <w:t>中选人中选资格被取消或放弃中选的，比选人有权将依评比规则确定的排名第二名的候选中选人作为本项目的中选人，或者重新组织比选，依此类推。</w:t>
      </w:r>
    </w:p>
    <w:p w14:paraId="621DB733">
      <w:pPr>
        <w:autoSpaceDE w:val="0"/>
        <w:autoSpaceDN w:val="0"/>
        <w:spacing w:line="560" w:lineRule="exact"/>
        <w:ind w:firstLine="480" w:firstLineChars="200"/>
        <w:rPr>
          <w:rFonts w:ascii="Times New Roman" w:hAnsi="Times New Roman" w:eastAsia="仿宋"/>
          <w:snapToGrid w:val="0"/>
        </w:rPr>
      </w:pPr>
      <w:r>
        <w:rPr>
          <w:rFonts w:ascii="Times New Roman" w:hAnsi="Times New Roman" w:eastAsia="仿宋"/>
          <w:snapToGrid w:val="0"/>
        </w:rPr>
        <w:t>3.</w:t>
      </w:r>
      <w:r>
        <w:rPr>
          <w:rFonts w:hint="eastAsia" w:ascii="Times New Roman" w:hAnsi="Times New Roman" w:eastAsia="仿宋"/>
          <w:snapToGrid w:val="0"/>
        </w:rPr>
        <w:t xml:space="preserve"> 中选人需在比选人通知中选后10个工作日内，</w:t>
      </w:r>
      <w:r>
        <w:rPr>
          <w:rFonts w:hint="eastAsia" w:ascii="Times New Roman" w:hAnsi="Times New Roman" w:eastAsia="仿宋"/>
          <w:snapToGrid w:val="0"/>
          <w:color w:val="000000"/>
        </w:rPr>
        <w:t>按照本比选文件所附合同</w:t>
      </w:r>
      <w:r>
        <w:rPr>
          <w:rFonts w:hint="eastAsia" w:ascii="Times New Roman" w:hAnsi="Times New Roman" w:eastAsia="仿宋"/>
          <w:snapToGrid w:val="0"/>
        </w:rPr>
        <w:t>与比选人</w:t>
      </w:r>
      <w:r>
        <w:rPr>
          <w:rFonts w:hint="eastAsia" w:ascii="Times New Roman" w:hAnsi="Times New Roman" w:eastAsia="仿宋"/>
          <w:snapToGrid w:val="0"/>
          <w:color w:val="000000"/>
        </w:rPr>
        <w:t>（或比选人指定单位）</w:t>
      </w:r>
      <w:r>
        <w:rPr>
          <w:rFonts w:hint="eastAsia" w:ascii="Times New Roman" w:hAnsi="Times New Roman" w:eastAsia="仿宋"/>
          <w:snapToGrid w:val="0"/>
        </w:rPr>
        <w:t>签订合同。</w:t>
      </w:r>
    </w:p>
    <w:p w14:paraId="3FBA78AC">
      <w:p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4. 中选人签订合同后必须履行合同要求。若因中选人原因未在规定的时间内完成服务相关工作，则比选人有权解除合同、取消中选人的资格，并取消中选人三年内在比选人的业务中的参选资格，由此给比选人造成的损失，比选人还有权追究中选人的全部责任。</w:t>
      </w:r>
    </w:p>
    <w:p w14:paraId="3C93AE0F">
      <w:p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5. 比选文件与合同附件作为签订合同的条款，比选文件合同条款中没有规定的内容，比选人、中选人认为有必要进行补充的，可另行商定解决。未经比选人同意，中选人不得擅自更改合同条款，否则比选人有权取消中选人的中选资格，同时，由此给比选人造成损失的，比选人还有权追究中选人的全部责任。</w:t>
      </w:r>
    </w:p>
    <w:p w14:paraId="3FC8FFDE">
      <w:pPr>
        <w:autoSpaceDE w:val="0"/>
        <w:autoSpaceDN w:val="0"/>
        <w:spacing w:line="560" w:lineRule="exact"/>
        <w:ind w:firstLine="480" w:firstLineChars="200"/>
        <w:rPr>
          <w:rFonts w:ascii="Times New Roman" w:hAnsi="Times New Roman" w:eastAsia="仿宋"/>
          <w:snapToGrid w:val="0"/>
        </w:rPr>
      </w:pPr>
      <w:r>
        <w:rPr>
          <w:rFonts w:hint="eastAsia" w:ascii="Times New Roman" w:hAnsi="Times New Roman" w:eastAsia="仿宋"/>
          <w:snapToGrid w:val="0"/>
        </w:rPr>
        <w:t>6. 接受和拒绝任何或所有参选的权利：比选人保留在合同正式签订之前任何时候接受或拒绝任何参选，以及宣布比选程序无效或拒绝所有参选的权利，对受影响的参选人不承担任何责任。</w:t>
      </w:r>
    </w:p>
    <w:p w14:paraId="0D6BAF86">
      <w:pPr>
        <w:spacing w:line="560" w:lineRule="exact"/>
        <w:rPr>
          <w:rFonts w:ascii="Times New Roman" w:hAnsi="Times New Roman" w:cs="Arial"/>
          <w:b/>
          <w:bCs/>
          <w:sz w:val="32"/>
          <w:szCs w:val="32"/>
        </w:rPr>
      </w:pPr>
      <w:bookmarkStart w:id="314" w:name="_Toc486321061"/>
      <w:r>
        <w:rPr>
          <w:rFonts w:ascii="Times New Roman" w:hAnsi="Times New Roman"/>
        </w:rPr>
        <w:br w:type="page"/>
      </w:r>
    </w:p>
    <w:p w14:paraId="3814769D">
      <w:pPr>
        <w:numPr>
          <w:ilvl w:val="0"/>
          <w:numId w:val="9"/>
        </w:numPr>
        <w:jc w:val="center"/>
        <w:outlineLvl w:val="0"/>
        <w:rPr>
          <w:rFonts w:hint="eastAsia" w:ascii="Times New Roman" w:hAnsi="Times New Roman" w:eastAsia="仿宋" w:cs="Arial"/>
          <w:b/>
          <w:bCs/>
          <w:kern w:val="2"/>
          <w:sz w:val="44"/>
          <w:szCs w:val="44"/>
        </w:rPr>
      </w:pPr>
      <w:bookmarkStart w:id="315" w:name="_Toc15929"/>
      <w:bookmarkStart w:id="316" w:name="_Toc22080"/>
      <w:bookmarkStart w:id="317" w:name="_Toc4904"/>
      <w:bookmarkStart w:id="318" w:name="_Toc22015"/>
      <w:bookmarkStart w:id="319" w:name="_Toc16649"/>
      <w:bookmarkStart w:id="320" w:name="_Toc1909"/>
      <w:bookmarkStart w:id="321" w:name="_Toc19654"/>
      <w:bookmarkStart w:id="322" w:name="_Toc29084"/>
      <w:bookmarkStart w:id="323" w:name="_Toc5466"/>
      <w:bookmarkStart w:id="324" w:name="_Toc91421115"/>
      <w:bookmarkStart w:id="325" w:name="_Toc8915"/>
      <w:bookmarkStart w:id="326" w:name="_Toc25230"/>
      <w:r>
        <w:rPr>
          <w:rFonts w:hint="eastAsia" w:ascii="Times New Roman" w:hAnsi="Times New Roman" w:eastAsia="仿宋" w:cs="Arial"/>
          <w:b/>
          <w:bCs/>
          <w:kern w:val="2"/>
          <w:sz w:val="44"/>
          <w:szCs w:val="44"/>
        </w:rPr>
        <w:t>中选后相关履约要求</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4136F13B">
      <w:pPr>
        <w:spacing w:line="560" w:lineRule="exact"/>
        <w:ind w:firstLine="562" w:firstLineChars="200"/>
        <w:jc w:val="center"/>
        <w:rPr>
          <w:rFonts w:ascii="Times New Roman" w:hAnsi="Times New Roman"/>
          <w:b/>
          <w:sz w:val="28"/>
          <w:szCs w:val="28"/>
        </w:rPr>
      </w:pPr>
    </w:p>
    <w:p w14:paraId="425E3B02">
      <w:pPr>
        <w:autoSpaceDE w:val="0"/>
        <w:autoSpaceDN w:val="0"/>
        <w:spacing w:line="560" w:lineRule="exact"/>
        <w:ind w:firstLine="480" w:firstLineChars="200"/>
        <w:rPr>
          <w:rFonts w:ascii="Times New Roman" w:hAnsi="Times New Roman" w:eastAsia="仿宋"/>
          <w:snapToGrid w:val="0"/>
        </w:rPr>
      </w:pPr>
      <w:r>
        <w:rPr>
          <w:rFonts w:ascii="Times New Roman" w:hAnsi="Times New Roman" w:eastAsia="仿宋"/>
          <w:snapToGrid w:val="0"/>
        </w:rPr>
        <w:t>1.</w:t>
      </w:r>
      <w:r>
        <w:rPr>
          <w:rFonts w:hint="eastAsia" w:ascii="Times New Roman" w:hAnsi="Times New Roman" w:eastAsia="仿宋"/>
          <w:snapToGrid w:val="0"/>
        </w:rPr>
        <w:t xml:space="preserve"> </w:t>
      </w:r>
      <w:r>
        <w:rPr>
          <w:rFonts w:ascii="Times New Roman" w:hAnsi="Times New Roman" w:eastAsia="仿宋"/>
          <w:snapToGrid w:val="0"/>
        </w:rPr>
        <w:t>中选人要服从比选人的管理规定，不得影响比选人的生产运行，如有违反，比选人有权解除合同、取消</w:t>
      </w:r>
      <w:r>
        <w:rPr>
          <w:rFonts w:hint="eastAsia" w:ascii="Times New Roman" w:hAnsi="Times New Roman" w:eastAsia="仿宋"/>
          <w:snapToGrid w:val="0"/>
        </w:rPr>
        <w:t>中选人的继续履行合同的</w:t>
      </w:r>
      <w:r>
        <w:rPr>
          <w:rFonts w:ascii="Times New Roman" w:hAnsi="Times New Roman" w:eastAsia="仿宋"/>
          <w:snapToGrid w:val="0"/>
        </w:rPr>
        <w:t>资格</w:t>
      </w:r>
      <w:r>
        <w:rPr>
          <w:rFonts w:hint="eastAsia" w:ascii="Times New Roman" w:hAnsi="Times New Roman" w:eastAsia="仿宋"/>
          <w:snapToGrid w:val="0"/>
        </w:rPr>
        <w:t>，</w:t>
      </w:r>
      <w:r>
        <w:rPr>
          <w:rFonts w:ascii="Times New Roman" w:hAnsi="Times New Roman" w:eastAsia="仿宋"/>
          <w:snapToGrid w:val="0"/>
        </w:rPr>
        <w:t>同时</w:t>
      </w:r>
      <w:r>
        <w:rPr>
          <w:rFonts w:hint="eastAsia" w:ascii="Times New Roman" w:hAnsi="Times New Roman" w:eastAsia="仿宋"/>
          <w:snapToGrid w:val="0"/>
        </w:rPr>
        <w:t>，由此给比选人造成的损失，比选人还有权追究中选人的全部责任。</w:t>
      </w:r>
    </w:p>
    <w:p w14:paraId="69BC5150">
      <w:pPr>
        <w:autoSpaceDE w:val="0"/>
        <w:autoSpaceDN w:val="0"/>
        <w:spacing w:line="560" w:lineRule="exact"/>
        <w:ind w:firstLine="480" w:firstLineChars="200"/>
        <w:rPr>
          <w:rFonts w:ascii="Times New Roman" w:hAnsi="Times New Roman" w:eastAsia="仿宋"/>
          <w:snapToGrid w:val="0"/>
          <w:highlight w:val="none"/>
        </w:rPr>
      </w:pPr>
      <w:r>
        <w:rPr>
          <w:rFonts w:ascii="Times New Roman" w:hAnsi="Times New Roman" w:eastAsia="仿宋"/>
          <w:snapToGrid w:val="0"/>
        </w:rPr>
        <w:t xml:space="preserve">2. </w:t>
      </w:r>
      <w:r>
        <w:rPr>
          <w:rFonts w:hint="eastAsia" w:ascii="Times New Roman" w:hAnsi="Times New Roman" w:eastAsia="仿宋"/>
          <w:snapToGrid w:val="0"/>
        </w:rPr>
        <w:t>必须满足以下</w:t>
      </w:r>
      <w:r>
        <w:rPr>
          <w:rFonts w:hint="eastAsia" w:ascii="Times New Roman" w:hAnsi="Times New Roman" w:eastAsia="仿宋"/>
          <w:snapToGrid w:val="0"/>
          <w:highlight w:val="none"/>
        </w:rPr>
        <w:t>条件才可进行验收：</w:t>
      </w:r>
    </w:p>
    <w:p w14:paraId="6ADF617A">
      <w:pPr>
        <w:autoSpaceDE w:val="0"/>
        <w:autoSpaceDN w:val="0"/>
        <w:spacing w:line="560" w:lineRule="exact"/>
        <w:ind w:firstLine="480" w:firstLineChars="200"/>
        <w:rPr>
          <w:rFonts w:ascii="Times New Roman" w:hAnsi="Times New Roman" w:eastAsia="仿宋"/>
          <w:snapToGrid w:val="0"/>
          <w:highlight w:val="none"/>
        </w:rPr>
      </w:pPr>
      <w:r>
        <w:rPr>
          <w:rFonts w:ascii="Times New Roman" w:hAnsi="Times New Roman" w:eastAsia="仿宋"/>
          <w:snapToGrid w:val="0"/>
          <w:highlight w:val="none"/>
        </w:rPr>
        <w:t xml:space="preserve">按合同规定完成所有的工作内容。 </w:t>
      </w:r>
    </w:p>
    <w:p w14:paraId="1D098DF2">
      <w:pPr>
        <w:autoSpaceDE w:val="0"/>
        <w:autoSpaceDN w:val="0"/>
        <w:spacing w:line="560" w:lineRule="exact"/>
        <w:ind w:firstLine="480" w:firstLineChars="200"/>
        <w:rPr>
          <w:rFonts w:ascii="Times New Roman" w:hAnsi="Times New Roman" w:eastAsia="仿宋"/>
          <w:snapToGrid w:val="0"/>
          <w:highlight w:val="none"/>
        </w:rPr>
      </w:pPr>
      <w:r>
        <w:rPr>
          <w:rFonts w:ascii="Times New Roman" w:hAnsi="Times New Roman" w:eastAsia="仿宋"/>
          <w:snapToGrid w:val="0"/>
          <w:highlight w:val="none"/>
        </w:rPr>
        <w:t>3.</w:t>
      </w:r>
      <w:r>
        <w:rPr>
          <w:rFonts w:hint="eastAsia" w:ascii="Times New Roman" w:hAnsi="Times New Roman" w:eastAsia="仿宋"/>
          <w:snapToGrid w:val="0"/>
          <w:highlight w:val="none"/>
        </w:rPr>
        <w:t>付款方式为：</w:t>
      </w:r>
    </w:p>
    <w:p w14:paraId="0C59168C">
      <w:pPr>
        <w:autoSpaceDE w:val="0"/>
        <w:autoSpaceDN w:val="0"/>
        <w:spacing w:line="560" w:lineRule="exact"/>
        <w:ind w:firstLine="480" w:firstLineChars="200"/>
        <w:jc w:val="both"/>
        <w:rPr>
          <w:rFonts w:hint="eastAsia" w:ascii="Times New Roman" w:hAnsi="Times New Roman" w:eastAsia="仿宋"/>
          <w:snapToGrid w:val="0"/>
        </w:rPr>
      </w:pPr>
      <w:r>
        <w:rPr>
          <w:rFonts w:hint="eastAsia" w:ascii="Times New Roman" w:hAnsi="Times New Roman" w:eastAsia="仿宋"/>
          <w:snapToGrid w:val="0"/>
          <w:highlight w:val="none"/>
        </w:rPr>
        <w:t>完成设备</w:t>
      </w:r>
      <w:r>
        <w:rPr>
          <w:rFonts w:hint="eastAsia" w:ascii="Times New Roman" w:hAnsi="Times New Roman" w:eastAsia="仿宋"/>
          <w:snapToGrid w:val="0"/>
          <w:highlight w:val="none"/>
          <w:lang w:val="en-US" w:eastAsia="zh-CN"/>
        </w:rPr>
        <w:t>到货、</w:t>
      </w:r>
      <w:r>
        <w:rPr>
          <w:rFonts w:hint="eastAsia" w:ascii="Times New Roman" w:hAnsi="Times New Roman" w:eastAsia="仿宋"/>
          <w:snapToGrid w:val="0"/>
          <w:highlight w:val="none"/>
        </w:rPr>
        <w:t>安装、施工、调试，试运行满1个月，</w:t>
      </w:r>
      <w:r>
        <w:rPr>
          <w:rFonts w:hint="eastAsia" w:ascii="Times New Roman" w:hAnsi="Times New Roman" w:eastAsia="仿宋"/>
          <w:snapToGrid w:val="0"/>
          <w:highlight w:val="none"/>
          <w:lang w:val="en-US" w:eastAsia="zh-CN"/>
        </w:rPr>
        <w:t>中选人</w:t>
      </w:r>
      <w:r>
        <w:rPr>
          <w:rFonts w:hint="eastAsia" w:ascii="Times New Roman" w:hAnsi="Times New Roman" w:eastAsia="仿宋"/>
          <w:snapToGrid w:val="0"/>
          <w:highlight w:val="none"/>
        </w:rPr>
        <w:t>提供原厂质保承诺函及合同总金额100%的增值税专用</w:t>
      </w:r>
      <w:r>
        <w:rPr>
          <w:rFonts w:hint="eastAsia" w:ascii="Times New Roman" w:hAnsi="Times New Roman" w:eastAsia="仿宋"/>
          <w:snapToGrid w:val="0"/>
        </w:rPr>
        <w:t>发票，</w:t>
      </w:r>
      <w:r>
        <w:rPr>
          <w:rFonts w:hint="eastAsia" w:ascii="Times New Roman" w:hAnsi="Times New Roman" w:eastAsia="仿宋"/>
          <w:snapToGrid w:val="0"/>
          <w:lang w:val="en-US" w:eastAsia="zh-CN"/>
        </w:rPr>
        <w:t>比选人</w:t>
      </w:r>
      <w:r>
        <w:rPr>
          <w:rFonts w:hint="eastAsia" w:ascii="Times New Roman" w:hAnsi="Times New Roman" w:eastAsia="仿宋"/>
          <w:snapToGrid w:val="0"/>
        </w:rPr>
        <w:t>于15个工作日内向中选人支付合同</w:t>
      </w:r>
      <w:r>
        <w:rPr>
          <w:rFonts w:hint="eastAsia" w:ascii="Times New Roman" w:hAnsi="Times New Roman" w:eastAsia="仿宋"/>
          <w:snapToGrid w:val="0"/>
          <w:lang w:val="en-US" w:eastAsia="zh-CN"/>
        </w:rPr>
        <w:t>全款</w:t>
      </w:r>
      <w:r>
        <w:rPr>
          <w:rFonts w:hint="eastAsia" w:ascii="Times New Roman" w:hAnsi="Times New Roman" w:eastAsia="仿宋"/>
          <w:snapToGrid w:val="0"/>
        </w:rPr>
        <w:t>。</w:t>
      </w:r>
    </w:p>
    <w:p w14:paraId="1EA38DAB">
      <w:pPr>
        <w:autoSpaceDE w:val="0"/>
        <w:autoSpaceDN w:val="0"/>
        <w:spacing w:line="560" w:lineRule="exact"/>
        <w:ind w:firstLine="480" w:firstLineChars="200"/>
        <w:rPr>
          <w:rFonts w:ascii="Times New Roman" w:hAnsi="Times New Roman" w:cs="Arial"/>
          <w:b/>
          <w:bCs/>
          <w:sz w:val="32"/>
          <w:szCs w:val="32"/>
        </w:rPr>
      </w:pPr>
      <w:r>
        <w:rPr>
          <w:rFonts w:hint="eastAsia" w:ascii="Times New Roman" w:hAnsi="Times New Roman" w:eastAsia="仿宋"/>
          <w:snapToGrid w:val="0"/>
          <w:sz w:val="24"/>
          <w:szCs w:val="24"/>
          <w:lang w:val="en-US" w:eastAsia="zh-CN"/>
        </w:rPr>
        <w:t>4.</w:t>
      </w:r>
      <w:r>
        <w:rPr>
          <w:rFonts w:ascii="Times New Roman" w:hAnsi="Times New Roman" w:eastAsia="仿宋"/>
          <w:snapToGrid w:val="0"/>
          <w:sz w:val="24"/>
          <w:szCs w:val="24"/>
        </w:rPr>
        <w:t>中选人需遵守比选人的各项管理规章制度，如违反相关制度，则按</w:t>
      </w:r>
      <w:r>
        <w:rPr>
          <w:rFonts w:hint="eastAsia" w:ascii="Times New Roman" w:hAnsi="Times New Roman" w:eastAsia="仿宋"/>
          <w:snapToGrid w:val="0"/>
          <w:sz w:val="24"/>
          <w:szCs w:val="24"/>
        </w:rPr>
        <w:t>福建省能源石化信息科技有限责任公司相应制度条款进行处理，中选人对此无异议。</w:t>
      </w:r>
      <w:bookmarkStart w:id="327" w:name="_Toc486321062"/>
      <w:r>
        <w:rPr>
          <w:rFonts w:ascii="Times New Roman" w:hAnsi="Times New Roman"/>
          <w:sz w:val="22"/>
          <w:szCs w:val="22"/>
        </w:rPr>
        <w:br w:type="page"/>
      </w:r>
    </w:p>
    <w:p w14:paraId="7E1F5FC1">
      <w:pPr>
        <w:numPr>
          <w:ilvl w:val="0"/>
          <w:numId w:val="9"/>
        </w:numPr>
        <w:jc w:val="center"/>
        <w:outlineLvl w:val="0"/>
        <w:rPr>
          <w:rFonts w:hint="eastAsia" w:ascii="Times New Roman" w:hAnsi="Times New Roman" w:eastAsia="仿宋" w:cs="Arial"/>
          <w:b/>
          <w:bCs/>
          <w:kern w:val="2"/>
          <w:sz w:val="44"/>
          <w:szCs w:val="44"/>
        </w:rPr>
      </w:pPr>
      <w:bookmarkStart w:id="328" w:name="_Toc91421116"/>
      <w:bookmarkStart w:id="329" w:name="_Toc1705"/>
      <w:bookmarkStart w:id="330" w:name="_Toc9757"/>
      <w:bookmarkStart w:id="331" w:name="_Toc5031"/>
      <w:bookmarkStart w:id="332" w:name="_Toc24246"/>
      <w:bookmarkStart w:id="333" w:name="_Toc28021"/>
      <w:bookmarkStart w:id="334" w:name="_Toc22434"/>
      <w:bookmarkStart w:id="335" w:name="_Toc9478"/>
      <w:bookmarkStart w:id="336" w:name="_Toc10412"/>
      <w:bookmarkStart w:id="337" w:name="_Toc26419"/>
      <w:bookmarkStart w:id="338" w:name="_Toc5349"/>
      <w:bookmarkStart w:id="339" w:name="_Toc27581"/>
      <w:r>
        <w:rPr>
          <w:rFonts w:hint="eastAsia" w:ascii="Times New Roman" w:hAnsi="Times New Roman" w:eastAsia="仿宋" w:cs="Arial"/>
          <w:b/>
          <w:bCs/>
          <w:kern w:val="2"/>
          <w:sz w:val="44"/>
          <w:szCs w:val="44"/>
        </w:rPr>
        <w:t>其它</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31D1C60A">
      <w:pPr>
        <w:spacing w:line="560" w:lineRule="exact"/>
        <w:jc w:val="center"/>
        <w:rPr>
          <w:rFonts w:ascii="Times New Roman" w:hAnsi="Times New Roman"/>
          <w:b/>
          <w:sz w:val="28"/>
          <w:szCs w:val="28"/>
        </w:rPr>
      </w:pPr>
    </w:p>
    <w:p w14:paraId="71C9F9DE">
      <w:pPr>
        <w:autoSpaceDE w:val="0"/>
        <w:autoSpaceDN w:val="0"/>
        <w:spacing w:line="560" w:lineRule="exact"/>
        <w:ind w:firstLine="480" w:firstLineChars="200"/>
        <w:rPr>
          <w:rFonts w:ascii="Times New Roman" w:hAnsi="Times New Roman" w:eastAsia="仿宋"/>
          <w:snapToGrid w:val="0"/>
        </w:rPr>
      </w:pPr>
      <w:r>
        <w:rPr>
          <w:rFonts w:ascii="Times New Roman" w:hAnsi="Times New Roman" w:eastAsia="仿宋"/>
          <w:snapToGrid w:val="0"/>
        </w:rPr>
        <w:t>1.</w:t>
      </w:r>
      <w:r>
        <w:rPr>
          <w:rFonts w:hint="eastAsia" w:ascii="Times New Roman" w:hAnsi="Times New Roman" w:eastAsia="仿宋"/>
          <w:snapToGrid w:val="0"/>
        </w:rPr>
        <w:t xml:space="preserve"> </w:t>
      </w:r>
      <w:r>
        <w:rPr>
          <w:rFonts w:ascii="Times New Roman" w:hAnsi="Times New Roman" w:eastAsia="仿宋"/>
          <w:snapToGrid w:val="0"/>
        </w:rPr>
        <w:t>参选人的参选文件无论其是否中选，均不退回。</w:t>
      </w:r>
    </w:p>
    <w:p w14:paraId="1B187F85">
      <w:pPr>
        <w:autoSpaceDE w:val="0"/>
        <w:autoSpaceDN w:val="0"/>
        <w:spacing w:line="560" w:lineRule="exact"/>
        <w:ind w:firstLine="480" w:firstLineChars="200"/>
        <w:rPr>
          <w:rFonts w:ascii="Times New Roman" w:hAnsi="Times New Roman" w:eastAsia="仿宋"/>
          <w:snapToGrid w:val="0"/>
        </w:rPr>
      </w:pPr>
      <w:r>
        <w:rPr>
          <w:rFonts w:ascii="Times New Roman" w:hAnsi="Times New Roman" w:eastAsia="仿宋"/>
          <w:snapToGrid w:val="0"/>
        </w:rPr>
        <w:t>2.</w:t>
      </w:r>
      <w:r>
        <w:rPr>
          <w:rFonts w:hint="eastAsia" w:ascii="Times New Roman" w:hAnsi="Times New Roman" w:eastAsia="仿宋"/>
          <w:snapToGrid w:val="0"/>
        </w:rPr>
        <w:t xml:space="preserve"> </w:t>
      </w:r>
      <w:r>
        <w:rPr>
          <w:rFonts w:ascii="Times New Roman" w:hAnsi="Times New Roman" w:eastAsia="仿宋"/>
          <w:snapToGrid w:val="0"/>
        </w:rPr>
        <w:t>比选人郑重承诺：参选人所提交的参选文件及相关资料不向第三方泄露。</w:t>
      </w:r>
    </w:p>
    <w:p w14:paraId="07837C92">
      <w:pPr>
        <w:autoSpaceDE w:val="0"/>
        <w:autoSpaceDN w:val="0"/>
        <w:spacing w:line="560" w:lineRule="exact"/>
        <w:ind w:firstLine="480" w:firstLineChars="200"/>
        <w:rPr>
          <w:rFonts w:ascii="Times New Roman" w:hAnsi="Times New Roman" w:eastAsia="仿宋"/>
          <w:snapToGrid w:val="0"/>
        </w:rPr>
      </w:pPr>
      <w:r>
        <w:rPr>
          <w:rFonts w:ascii="Times New Roman" w:hAnsi="Times New Roman" w:eastAsia="仿宋"/>
          <w:snapToGrid w:val="0"/>
        </w:rPr>
        <w:t>3.</w:t>
      </w:r>
      <w:r>
        <w:rPr>
          <w:rFonts w:hint="eastAsia" w:ascii="Times New Roman" w:hAnsi="Times New Roman" w:eastAsia="仿宋"/>
          <w:snapToGrid w:val="0"/>
        </w:rPr>
        <w:t xml:space="preserve"> </w:t>
      </w:r>
      <w:r>
        <w:rPr>
          <w:rFonts w:ascii="Times New Roman" w:hAnsi="Times New Roman" w:eastAsia="仿宋"/>
          <w:snapToGrid w:val="0"/>
        </w:rPr>
        <w:t>本比选文件的解释权归</w:t>
      </w:r>
      <w:r>
        <w:rPr>
          <w:rFonts w:hint="eastAsia" w:ascii="Times New Roman" w:hAnsi="Times New Roman" w:eastAsia="仿宋"/>
          <w:snapToGrid w:val="0"/>
        </w:rPr>
        <w:t>福建省能源石化信息科技有限责任公司。</w:t>
      </w:r>
    </w:p>
    <w:p w14:paraId="2C0E4D8A">
      <w:pPr>
        <w:spacing w:line="560" w:lineRule="exact"/>
        <w:ind w:firstLine="480" w:firstLineChars="200"/>
        <w:rPr>
          <w:rFonts w:ascii="Times New Roman" w:hAnsi="Times New Roman"/>
          <w:szCs w:val="28"/>
        </w:rPr>
        <w:sectPr>
          <w:footerReference r:id="rId8" w:type="default"/>
          <w:pgSz w:w="11906" w:h="16838"/>
          <w:pgMar w:top="1361" w:right="1134" w:bottom="1134" w:left="1418" w:header="907" w:footer="992" w:gutter="0"/>
          <w:pgNumType w:fmt="numberInDash"/>
          <w:cols w:space="720" w:num="1"/>
          <w:docGrid w:linePitch="312" w:charSpace="0"/>
        </w:sectPr>
      </w:pPr>
    </w:p>
    <w:p w14:paraId="27C773BB">
      <w:pPr>
        <w:pStyle w:val="16"/>
        <w:spacing w:before="0" w:after="0" w:line="560" w:lineRule="exact"/>
        <w:jc w:val="left"/>
        <w:rPr>
          <w:rFonts w:ascii="Times New Roman" w:hAnsi="Times New Roman" w:eastAsia="仿宋"/>
          <w:sz w:val="44"/>
          <w:szCs w:val="44"/>
        </w:rPr>
      </w:pPr>
      <w:bookmarkStart w:id="340" w:name="_Toc32320"/>
      <w:bookmarkStart w:id="341" w:name="_Toc14544"/>
      <w:bookmarkStart w:id="342" w:name="_Toc17189"/>
      <w:bookmarkStart w:id="343" w:name="_Toc8699"/>
      <w:bookmarkStart w:id="344" w:name="_Toc26189"/>
      <w:bookmarkStart w:id="345" w:name="_Toc3965"/>
      <w:bookmarkStart w:id="346" w:name="_Toc91421117"/>
      <w:bookmarkStart w:id="347" w:name="_Toc10734"/>
      <w:bookmarkStart w:id="348" w:name="_Toc7285"/>
      <w:bookmarkStart w:id="349" w:name="_Toc202"/>
      <w:bookmarkStart w:id="350" w:name="_Toc1991"/>
      <w:bookmarkStart w:id="351" w:name="_Toc18652"/>
      <w:bookmarkStart w:id="352" w:name="_Toc486321063"/>
      <w:bookmarkStart w:id="353" w:name="_Toc251742852"/>
      <w:r>
        <w:rPr>
          <w:rFonts w:hint="eastAsia" w:ascii="Times New Roman" w:hAnsi="Times New Roman" w:eastAsia="仿宋"/>
          <w:sz w:val="44"/>
          <w:szCs w:val="44"/>
        </w:rPr>
        <w:t>附件一  合同范本</w:t>
      </w:r>
      <w:bookmarkEnd w:id="340"/>
      <w:bookmarkEnd w:id="341"/>
      <w:bookmarkEnd w:id="342"/>
      <w:bookmarkEnd w:id="343"/>
      <w:bookmarkEnd w:id="344"/>
      <w:bookmarkEnd w:id="345"/>
      <w:bookmarkEnd w:id="346"/>
      <w:bookmarkEnd w:id="347"/>
      <w:bookmarkEnd w:id="348"/>
      <w:bookmarkEnd w:id="349"/>
      <w:bookmarkEnd w:id="350"/>
    </w:p>
    <w:p w14:paraId="3E85EA48">
      <w:pPr>
        <w:pStyle w:val="16"/>
        <w:spacing w:before="0" w:after="0" w:line="560" w:lineRule="exact"/>
        <w:outlineLvl w:val="9"/>
        <w:rPr>
          <w:rFonts w:ascii="Times New Roman" w:hAnsi="Times New Roman" w:eastAsia="仿宋"/>
          <w:sz w:val="44"/>
          <w:szCs w:val="44"/>
        </w:rPr>
      </w:pPr>
    </w:p>
    <w:p w14:paraId="1DCBD9D9">
      <w:pPr>
        <w:pStyle w:val="22"/>
        <w:rPr>
          <w:bCs/>
          <w:color w:val="000000"/>
          <w:kern w:val="0"/>
        </w:rPr>
      </w:pPr>
      <w:r>
        <w:rPr>
          <w:rFonts w:hint="eastAsia"/>
          <w:bCs/>
          <w:color w:val="000000"/>
          <w:kern w:val="0"/>
        </w:rPr>
        <w:t>（甲）合同编号：</w:t>
      </w:r>
      <w:r>
        <w:rPr>
          <w:rFonts w:hint="eastAsia"/>
          <w:bCs/>
          <w:color w:val="000000"/>
          <w:kern w:val="0"/>
          <w:u w:val="single"/>
        </w:rPr>
        <w:t xml:space="preserve">                     </w:t>
      </w:r>
    </w:p>
    <w:p w14:paraId="733F0103">
      <w:pPr>
        <w:pStyle w:val="22"/>
        <w:rPr>
          <w:rFonts w:hint="eastAsia"/>
          <w:bCs/>
          <w:color w:val="000000"/>
          <w:kern w:val="0"/>
          <w:u w:val="single"/>
        </w:rPr>
      </w:pPr>
      <w:r>
        <w:rPr>
          <w:rFonts w:hint="eastAsia"/>
          <w:bCs/>
          <w:color w:val="000000"/>
          <w:kern w:val="0"/>
        </w:rPr>
        <w:t>（乙）合同编号：</w:t>
      </w:r>
      <w:r>
        <w:rPr>
          <w:rFonts w:hint="eastAsia"/>
          <w:bCs/>
          <w:color w:val="000000"/>
          <w:kern w:val="0"/>
          <w:u w:val="single"/>
        </w:rPr>
        <w:t xml:space="preserve">                     </w:t>
      </w:r>
    </w:p>
    <w:p w14:paraId="45E2BDEC">
      <w:pPr>
        <w:pStyle w:val="22"/>
        <w:rPr>
          <w:rFonts w:hint="eastAsia"/>
          <w:bCs/>
          <w:color w:val="000000"/>
          <w:kern w:val="0"/>
          <w:u w:val="single"/>
        </w:rPr>
      </w:pPr>
    </w:p>
    <w:p w14:paraId="194B7352">
      <w:pPr>
        <w:spacing w:line="640" w:lineRule="exact"/>
        <w:jc w:val="center"/>
        <w:rPr>
          <w:rFonts w:hint="eastAsia" w:ascii="Times New Roman" w:hAnsi="Times New Roman" w:eastAsia="黑体" w:cs="宋体"/>
          <w:b/>
          <w:color w:val="000000"/>
          <w:sz w:val="56"/>
          <w:szCs w:val="56"/>
        </w:rPr>
      </w:pPr>
    </w:p>
    <w:p w14:paraId="52AEFA3F">
      <w:pPr>
        <w:spacing w:line="640" w:lineRule="exact"/>
        <w:jc w:val="center"/>
        <w:rPr>
          <w:rFonts w:hint="eastAsia" w:ascii="Times New Roman" w:hAnsi="Times New Roman" w:eastAsia="黑体" w:cs="宋体"/>
          <w:b/>
          <w:color w:val="000000"/>
          <w:sz w:val="56"/>
          <w:szCs w:val="56"/>
        </w:rPr>
      </w:pPr>
    </w:p>
    <w:p w14:paraId="2FE56F50">
      <w:pPr>
        <w:spacing w:line="640" w:lineRule="exact"/>
        <w:jc w:val="center"/>
        <w:rPr>
          <w:rFonts w:hint="eastAsia" w:ascii="Times New Roman" w:hAnsi="Times New Roman" w:eastAsia="黑体" w:cs="宋体"/>
          <w:b/>
          <w:color w:val="000000"/>
          <w:sz w:val="56"/>
          <w:szCs w:val="56"/>
        </w:rPr>
      </w:pPr>
    </w:p>
    <w:p w14:paraId="1F30BB6C">
      <w:pPr>
        <w:spacing w:line="640" w:lineRule="exact"/>
        <w:jc w:val="center"/>
        <w:rPr>
          <w:rFonts w:hint="eastAsia" w:ascii="Times New Roman" w:hAnsi="Times New Roman" w:eastAsia="黑体" w:cs="宋体"/>
          <w:b/>
          <w:color w:val="000000"/>
          <w:sz w:val="56"/>
          <w:szCs w:val="56"/>
        </w:rPr>
      </w:pPr>
    </w:p>
    <w:p w14:paraId="3EA1BBBF">
      <w:pPr>
        <w:spacing w:line="640" w:lineRule="exact"/>
        <w:jc w:val="center"/>
        <w:rPr>
          <w:rFonts w:ascii="Times New Roman" w:hAnsi="Times New Roman" w:eastAsia="黑体"/>
          <w:b/>
          <w:color w:val="000000"/>
          <w:sz w:val="56"/>
          <w:szCs w:val="56"/>
        </w:rPr>
      </w:pPr>
      <w:r>
        <w:rPr>
          <w:rFonts w:hint="eastAsia" w:ascii="Times New Roman" w:hAnsi="Times New Roman" w:eastAsia="黑体" w:cs="宋体"/>
          <w:b/>
          <w:color w:val="000000"/>
          <w:sz w:val="56"/>
          <w:szCs w:val="56"/>
          <w:lang w:eastAsia="zh-CN"/>
        </w:rPr>
        <w:t>大屏显示系统建设项目</w:t>
      </w:r>
      <w:r>
        <w:rPr>
          <w:rFonts w:hint="eastAsia" w:ascii="Times New Roman" w:hAnsi="Times New Roman" w:eastAsia="黑体"/>
          <w:b/>
          <w:color w:val="000000"/>
          <w:sz w:val="56"/>
          <w:szCs w:val="56"/>
        </w:rPr>
        <w:t>合同</w:t>
      </w:r>
    </w:p>
    <w:p w14:paraId="09D2B8BA">
      <w:pPr>
        <w:pStyle w:val="22"/>
        <w:rPr>
          <w:color w:val="000000"/>
        </w:rPr>
      </w:pPr>
    </w:p>
    <w:p w14:paraId="48383AB7">
      <w:pPr>
        <w:pStyle w:val="22"/>
        <w:rPr>
          <w:color w:val="000000"/>
        </w:rPr>
      </w:pPr>
    </w:p>
    <w:p w14:paraId="3DD3C790">
      <w:pPr>
        <w:pStyle w:val="22"/>
        <w:rPr>
          <w:color w:val="000000"/>
        </w:rPr>
      </w:pPr>
    </w:p>
    <w:p w14:paraId="098CE9DD">
      <w:pPr>
        <w:pStyle w:val="22"/>
        <w:rPr>
          <w:color w:val="000000"/>
        </w:rPr>
      </w:pPr>
    </w:p>
    <w:p w14:paraId="5C35224D">
      <w:pPr>
        <w:pStyle w:val="22"/>
        <w:rPr>
          <w:color w:val="000000"/>
        </w:rPr>
      </w:pPr>
    </w:p>
    <w:p w14:paraId="4EC9FB6A">
      <w:pPr>
        <w:pStyle w:val="22"/>
        <w:rPr>
          <w:color w:val="00000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378"/>
      </w:tblGrid>
      <w:tr w14:paraId="1B54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451ED67">
            <w:pPr>
              <w:pStyle w:val="22"/>
              <w:jc w:val="right"/>
              <w:rPr>
                <w:color w:val="000000"/>
                <w:kern w:val="0"/>
              </w:rPr>
            </w:pPr>
            <w:r>
              <w:rPr>
                <w:rFonts w:hint="eastAsia"/>
                <w:bCs/>
                <w:color w:val="000000"/>
                <w:kern w:val="0"/>
              </w:rPr>
              <w:t>委托方（甲方）：</w:t>
            </w:r>
          </w:p>
        </w:tc>
        <w:tc>
          <w:tcPr>
            <w:tcW w:w="6378" w:type="dxa"/>
            <w:noWrap w:val="0"/>
            <w:vAlign w:val="top"/>
          </w:tcPr>
          <w:p w14:paraId="79C95390">
            <w:pPr>
              <w:jc w:val="center"/>
              <w:rPr>
                <w:rFonts w:hint="eastAsia" w:ascii="Times New Roman" w:hAnsi="Times New Roman" w:eastAsia="仿宋_GB2312"/>
                <w:bCs/>
                <w:color w:val="000000"/>
                <w:sz w:val="32"/>
              </w:rPr>
            </w:pPr>
            <w:r>
              <w:rPr>
                <w:rFonts w:hint="eastAsia" w:ascii="Times New Roman" w:hAnsi="Times New Roman" w:eastAsia="仿宋_GB2312"/>
                <w:bCs/>
                <w:color w:val="000000"/>
                <w:sz w:val="32"/>
              </w:rPr>
              <w:t>福建省能源石化信息科技有限责任公司</w:t>
            </w:r>
          </w:p>
        </w:tc>
      </w:tr>
      <w:tr w14:paraId="162E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3F17E0B">
            <w:pPr>
              <w:pStyle w:val="22"/>
              <w:jc w:val="right"/>
              <w:rPr>
                <w:color w:val="000000"/>
                <w:kern w:val="0"/>
              </w:rPr>
            </w:pPr>
            <w:r>
              <w:rPr>
                <w:rFonts w:hint="eastAsia"/>
                <w:bCs/>
                <w:color w:val="000000"/>
                <w:kern w:val="0"/>
              </w:rPr>
              <w:t>受托方（乙方）：</w:t>
            </w:r>
          </w:p>
        </w:tc>
        <w:tc>
          <w:tcPr>
            <w:tcW w:w="6378" w:type="dxa"/>
            <w:noWrap w:val="0"/>
            <w:vAlign w:val="top"/>
          </w:tcPr>
          <w:p w14:paraId="60F9455C">
            <w:pPr>
              <w:pStyle w:val="22"/>
              <w:jc w:val="center"/>
              <w:rPr>
                <w:bCs/>
                <w:color w:val="000000"/>
                <w:kern w:val="0"/>
              </w:rPr>
            </w:pPr>
          </w:p>
        </w:tc>
      </w:tr>
      <w:tr w14:paraId="0314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D7AD944">
            <w:pPr>
              <w:pStyle w:val="22"/>
              <w:jc w:val="right"/>
              <w:rPr>
                <w:color w:val="000000"/>
                <w:kern w:val="0"/>
              </w:rPr>
            </w:pPr>
            <w:r>
              <w:rPr>
                <w:rFonts w:hint="eastAsia"/>
                <w:bCs/>
                <w:color w:val="000000"/>
                <w:kern w:val="0"/>
              </w:rPr>
              <w:t>签订地点：</w:t>
            </w:r>
          </w:p>
        </w:tc>
        <w:tc>
          <w:tcPr>
            <w:tcW w:w="6378" w:type="dxa"/>
            <w:noWrap w:val="0"/>
            <w:vAlign w:val="top"/>
          </w:tcPr>
          <w:p w14:paraId="2476EB27">
            <w:pPr>
              <w:pStyle w:val="22"/>
              <w:jc w:val="center"/>
              <w:rPr>
                <w:bCs/>
                <w:color w:val="000000"/>
                <w:kern w:val="0"/>
              </w:rPr>
            </w:pPr>
            <w:r>
              <w:rPr>
                <w:rFonts w:hint="eastAsia"/>
                <w:bCs/>
                <w:color w:val="000000"/>
                <w:kern w:val="0"/>
              </w:rPr>
              <w:t>福  州</w:t>
            </w:r>
          </w:p>
        </w:tc>
      </w:tr>
      <w:tr w14:paraId="39A7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41449ED">
            <w:pPr>
              <w:pStyle w:val="22"/>
              <w:jc w:val="right"/>
              <w:rPr>
                <w:color w:val="000000"/>
                <w:kern w:val="0"/>
              </w:rPr>
            </w:pPr>
            <w:r>
              <w:rPr>
                <w:rFonts w:hint="eastAsia"/>
                <w:bCs/>
                <w:color w:val="000000"/>
                <w:kern w:val="0"/>
              </w:rPr>
              <w:t>签订日期：</w:t>
            </w:r>
          </w:p>
        </w:tc>
        <w:tc>
          <w:tcPr>
            <w:tcW w:w="6378" w:type="dxa"/>
            <w:noWrap w:val="0"/>
            <w:vAlign w:val="top"/>
          </w:tcPr>
          <w:p w14:paraId="47F2A43E">
            <w:pPr>
              <w:pStyle w:val="22"/>
              <w:jc w:val="center"/>
              <w:rPr>
                <w:bCs/>
                <w:color w:val="000000"/>
                <w:kern w:val="0"/>
              </w:rPr>
            </w:pPr>
            <w:r>
              <w:rPr>
                <w:rFonts w:hint="eastAsia"/>
                <w:bCs/>
                <w:color w:val="000000"/>
                <w:kern w:val="0"/>
              </w:rPr>
              <w:t xml:space="preserve">年 </w:t>
            </w:r>
            <w:r>
              <w:rPr>
                <w:bCs/>
                <w:color w:val="000000"/>
                <w:kern w:val="0"/>
              </w:rPr>
              <w:t xml:space="preserve">   </w:t>
            </w:r>
            <w:r>
              <w:rPr>
                <w:rFonts w:hint="eastAsia"/>
                <w:bCs/>
                <w:color w:val="000000"/>
                <w:kern w:val="0"/>
              </w:rPr>
              <w:t xml:space="preserve">月 </w:t>
            </w:r>
            <w:r>
              <w:rPr>
                <w:bCs/>
                <w:color w:val="000000"/>
                <w:kern w:val="0"/>
              </w:rPr>
              <w:t xml:space="preserve">   </w:t>
            </w:r>
            <w:r>
              <w:rPr>
                <w:rFonts w:hint="eastAsia"/>
                <w:bCs/>
                <w:color w:val="000000"/>
                <w:kern w:val="0"/>
              </w:rPr>
              <w:t>日</w:t>
            </w:r>
          </w:p>
        </w:tc>
      </w:tr>
    </w:tbl>
    <w:p w14:paraId="2F44EF7E">
      <w:pPr>
        <w:pStyle w:val="22"/>
        <w:rPr>
          <w:color w:val="000000"/>
        </w:rPr>
      </w:pPr>
    </w:p>
    <w:p w14:paraId="5B9C678E">
      <w:pPr>
        <w:pStyle w:val="22"/>
        <w:rPr>
          <w:color w:val="000000"/>
        </w:rPr>
      </w:pPr>
    </w:p>
    <w:p w14:paraId="05964D85">
      <w:pPr>
        <w:ind w:firstLine="562" w:firstLineChars="200"/>
        <w:rPr>
          <w:rFonts w:ascii="Times New Roman" w:hAnsi="Times New Roman"/>
          <w:b/>
          <w:color w:val="000000"/>
          <w:sz w:val="28"/>
          <w:szCs w:val="28"/>
        </w:rPr>
        <w:sectPr>
          <w:pgSz w:w="11906" w:h="16838"/>
          <w:pgMar w:top="720" w:right="720" w:bottom="720" w:left="1287" w:header="851" w:footer="992" w:gutter="0"/>
          <w:pgNumType w:fmt="numberInDash"/>
          <w:cols w:space="720" w:num="1"/>
          <w:docGrid w:type="lines" w:linePitch="312" w:charSpace="0"/>
        </w:sectPr>
      </w:pPr>
    </w:p>
    <w:p w14:paraId="50D57C41">
      <w:pPr>
        <w:spacing w:line="560" w:lineRule="exact"/>
        <w:ind w:firstLine="480" w:firstLineChars="200"/>
        <w:rPr>
          <w:rFonts w:hint="eastAsia" w:ascii="Times New Roman" w:hAnsi="Times New Roman" w:eastAsia="仿宋" w:cs="仿宋"/>
          <w:color w:val="000000"/>
        </w:rPr>
      </w:pPr>
      <w:r>
        <w:rPr>
          <w:rFonts w:hint="eastAsia" w:ascii="Times New Roman" w:hAnsi="Times New Roman" w:eastAsia="仿宋" w:cs="仿宋"/>
          <w:color w:val="000000"/>
        </w:rPr>
        <w:t>依据《中华人民共和国民法典》及其他有关法律法规规定，委托方（甲方）与受托</w:t>
      </w:r>
      <w:r>
        <w:rPr>
          <w:rFonts w:hint="eastAsia" w:ascii="Times New Roman" w:hAnsi="Times New Roman" w:eastAsia="仿宋" w:cs="仿宋"/>
        </w:rPr>
        <w:t>方（乙方）经友好</w:t>
      </w:r>
      <w:r>
        <w:rPr>
          <w:rFonts w:hint="eastAsia" w:ascii="Times New Roman" w:hAnsi="Times New Roman" w:eastAsia="仿宋" w:cs="仿宋"/>
          <w:color w:val="000000"/>
        </w:rPr>
        <w:t>协商，</w:t>
      </w:r>
      <w:r>
        <w:rPr>
          <w:rFonts w:hint="eastAsia" w:ascii="Times New Roman" w:hAnsi="Times New Roman" w:eastAsia="仿宋" w:cs="仿宋"/>
        </w:rPr>
        <w:t>在平等自愿的基础上，就甲方委托乙方提供</w:t>
      </w:r>
      <w:r>
        <w:rPr>
          <w:rFonts w:hint="eastAsia" w:ascii="Times New Roman" w:hAnsi="Times New Roman" w:eastAsia="仿宋" w:cs="仿宋"/>
          <w:lang w:eastAsia="zh-CN"/>
        </w:rPr>
        <w:t>大屏显示系统建设项目</w:t>
      </w:r>
      <w:r>
        <w:rPr>
          <w:rFonts w:hint="eastAsia" w:ascii="Times New Roman" w:hAnsi="Times New Roman" w:eastAsia="仿宋" w:cs="仿宋"/>
        </w:rPr>
        <w:t>的供货及相关服务</w:t>
      </w:r>
      <w:r>
        <w:rPr>
          <w:rFonts w:hint="eastAsia" w:ascii="Times New Roman" w:hAnsi="Times New Roman" w:eastAsia="仿宋" w:cs="仿宋"/>
          <w:color w:val="000000"/>
        </w:rPr>
        <w:t>订立本合同。</w:t>
      </w:r>
    </w:p>
    <w:p w14:paraId="38CDB3DE">
      <w:pPr>
        <w:numPr>
          <w:ilvl w:val="0"/>
          <w:numId w:val="17"/>
        </w:numPr>
        <w:spacing w:line="560" w:lineRule="exact"/>
        <w:ind w:firstLine="482" w:firstLineChars="200"/>
        <w:rPr>
          <w:rFonts w:hint="eastAsia" w:ascii="Times New Roman" w:hAnsi="Times New Roman" w:eastAsia="仿宋" w:cs="仿宋"/>
          <w:b/>
          <w:bCs/>
          <w:color w:val="000000"/>
        </w:rPr>
      </w:pPr>
      <w:r>
        <w:rPr>
          <w:rFonts w:hint="eastAsia" w:ascii="Times New Roman" w:hAnsi="Times New Roman" w:eastAsia="仿宋" w:cs="仿宋"/>
          <w:b/>
          <w:bCs/>
          <w:color w:val="000000"/>
        </w:rPr>
        <w:t>采购内容</w:t>
      </w:r>
    </w:p>
    <w:tbl>
      <w:tblPr>
        <w:tblStyle w:val="28"/>
        <w:tblW w:w="499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71"/>
        <w:gridCol w:w="936"/>
        <w:gridCol w:w="2677"/>
        <w:gridCol w:w="883"/>
        <w:gridCol w:w="2932"/>
      </w:tblGrid>
      <w:tr w14:paraId="51CBF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525" w:type="pct"/>
            <w:tcBorders>
              <w:bottom w:val="single" w:color="auto" w:sz="4" w:space="0"/>
            </w:tcBorders>
            <w:vAlign w:val="top"/>
          </w:tcPr>
          <w:p w14:paraId="4BD8AD42">
            <w:pPr>
              <w:pStyle w:val="26"/>
              <w:keepNext w:val="0"/>
              <w:keepLines w:val="0"/>
              <w:pageBreakBefore w:val="0"/>
              <w:wordWrap/>
              <w:topLinePunct w:val="0"/>
              <w:bidi w:val="0"/>
              <w:spacing w:line="360" w:lineRule="auto"/>
              <w:ind w:left="129"/>
              <w:textAlignment w:val="auto"/>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合同包</w:t>
            </w:r>
          </w:p>
        </w:tc>
        <w:tc>
          <w:tcPr>
            <w:tcW w:w="564" w:type="pct"/>
            <w:tcBorders>
              <w:bottom w:val="single" w:color="auto" w:sz="4" w:space="0"/>
            </w:tcBorders>
            <w:vAlign w:val="top"/>
          </w:tcPr>
          <w:p w14:paraId="568DEA9F">
            <w:pPr>
              <w:pStyle w:val="26"/>
              <w:keepNext w:val="0"/>
              <w:keepLines w:val="0"/>
              <w:pageBreakBefore w:val="0"/>
              <w:wordWrap/>
              <w:topLinePunct w:val="0"/>
              <w:bidi w:val="0"/>
              <w:spacing w:line="360" w:lineRule="auto"/>
              <w:ind w:left="146"/>
              <w:textAlignment w:val="auto"/>
              <w:rPr>
                <w:rFonts w:hint="eastAsia" w:ascii="仿宋" w:hAnsi="仿宋" w:eastAsia="仿宋" w:cs="仿宋"/>
                <w:sz w:val="21"/>
                <w:szCs w:val="21"/>
                <w:highlight w:val="none"/>
              </w:rPr>
            </w:pPr>
            <w:r>
              <w:rPr>
                <w:rFonts w:hint="eastAsia" w:ascii="仿宋" w:hAnsi="仿宋" w:eastAsia="仿宋" w:cs="仿宋"/>
                <w:spacing w:val="-10"/>
                <w:sz w:val="21"/>
                <w:szCs w:val="21"/>
                <w:highlight w:val="none"/>
              </w:rPr>
              <w:t>品目号</w:t>
            </w:r>
          </w:p>
        </w:tc>
        <w:tc>
          <w:tcPr>
            <w:tcW w:w="1613" w:type="pct"/>
            <w:tcBorders>
              <w:bottom w:val="single" w:color="auto" w:sz="4" w:space="0"/>
            </w:tcBorders>
            <w:vAlign w:val="center"/>
          </w:tcPr>
          <w:p w14:paraId="11F3CCE8">
            <w:pPr>
              <w:pStyle w:val="26"/>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货物名称</w:t>
            </w:r>
          </w:p>
        </w:tc>
        <w:tc>
          <w:tcPr>
            <w:tcW w:w="532" w:type="pct"/>
            <w:tcBorders>
              <w:bottom w:val="single" w:color="auto" w:sz="4" w:space="0"/>
            </w:tcBorders>
            <w:vAlign w:val="top"/>
          </w:tcPr>
          <w:p w14:paraId="1F522FBA">
            <w:pPr>
              <w:pStyle w:val="26"/>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6"/>
                <w:sz w:val="21"/>
                <w:szCs w:val="21"/>
                <w:highlight w:val="none"/>
              </w:rPr>
              <w:t>数量</w:t>
            </w:r>
          </w:p>
        </w:tc>
        <w:tc>
          <w:tcPr>
            <w:tcW w:w="1763" w:type="pct"/>
            <w:tcBorders>
              <w:bottom w:val="single" w:color="auto" w:sz="4" w:space="0"/>
            </w:tcBorders>
            <w:vAlign w:val="top"/>
          </w:tcPr>
          <w:p w14:paraId="2A0C09C4">
            <w:pPr>
              <w:pStyle w:val="26"/>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主要技术规格和要求</w:t>
            </w:r>
          </w:p>
        </w:tc>
      </w:tr>
      <w:tr w14:paraId="44E82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25" w:type="pct"/>
            <w:tcBorders>
              <w:top w:val="single" w:color="auto" w:sz="4" w:space="0"/>
              <w:left w:val="single" w:color="auto" w:sz="4" w:space="0"/>
              <w:bottom w:val="single" w:color="auto" w:sz="4" w:space="0"/>
              <w:right w:val="single" w:color="auto" w:sz="4" w:space="0"/>
            </w:tcBorders>
            <w:vAlign w:val="center"/>
          </w:tcPr>
          <w:p w14:paraId="736BCD25">
            <w:pPr>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14:paraId="11E48CF9">
            <w:pPr>
              <w:spacing w:beforeLines="0" w:afterLines="0"/>
              <w:jc w:val="center"/>
              <w:rPr>
                <w:rFonts w:hint="default" w:ascii="仿宋" w:hAnsi="仿宋" w:eastAsia="仿宋" w:cs="仿宋"/>
                <w:b w:val="0"/>
                <w:bCs w:val="0"/>
                <w:color w:val="000000"/>
                <w:sz w:val="21"/>
                <w:szCs w:val="21"/>
                <w:highlight w:val="none"/>
                <w:lang w:val="en-US" w:eastAsia="zh-CN" w:bidi="ar-SA"/>
              </w:rPr>
            </w:pPr>
            <w:r>
              <w:rPr>
                <w:rFonts w:hint="eastAsia" w:ascii="仿宋" w:hAnsi="仿宋" w:eastAsia="仿宋" w:cs="仿宋"/>
                <w:b w:val="0"/>
                <w:bCs w:val="0"/>
                <w:color w:val="000000"/>
                <w:sz w:val="21"/>
                <w:szCs w:val="21"/>
                <w:highlight w:val="none"/>
                <w:lang w:val="en-US" w:eastAsia="zh-CN"/>
              </w:rPr>
              <w:t>1-1</w:t>
            </w:r>
          </w:p>
        </w:tc>
        <w:tc>
          <w:tcPr>
            <w:tcW w:w="1613" w:type="pct"/>
            <w:tcBorders>
              <w:top w:val="single" w:color="auto" w:sz="4" w:space="0"/>
              <w:left w:val="single" w:color="auto" w:sz="4" w:space="0"/>
              <w:bottom w:val="single" w:color="auto" w:sz="4" w:space="0"/>
              <w:right w:val="single" w:color="auto" w:sz="4" w:space="0"/>
            </w:tcBorders>
            <w:shd w:val="clear" w:color="auto" w:fill="auto"/>
            <w:vAlign w:val="center"/>
          </w:tcPr>
          <w:p w14:paraId="2C275F2C">
            <w:pPr>
              <w:spacing w:beforeLines="0" w:afterLines="0"/>
              <w:jc w:val="center"/>
              <w:rPr>
                <w:rFonts w:hint="eastAsia" w:ascii="仿宋" w:hAnsi="仿宋" w:eastAsia="仿宋" w:cs="仿宋"/>
                <w:b w:val="0"/>
                <w:bCs w:val="0"/>
                <w:color w:val="000000"/>
                <w:sz w:val="21"/>
                <w:szCs w:val="21"/>
                <w:highlight w:val="none"/>
                <w:lang w:val="en-US" w:eastAsia="zh-CN" w:bidi="ar-SA"/>
              </w:rPr>
            </w:pPr>
            <w:r>
              <w:rPr>
                <w:rFonts w:hint="eastAsia" w:ascii="仿宋" w:hAnsi="仿宋" w:eastAsia="仿宋" w:cs="仿宋"/>
                <w:b w:val="0"/>
                <w:bCs w:val="0"/>
                <w:color w:val="000000"/>
                <w:sz w:val="21"/>
                <w:szCs w:val="21"/>
                <w:highlight w:val="none"/>
                <w:lang w:val="en-US" w:eastAsia="zh-CN" w:bidi="ar-SA"/>
              </w:rPr>
              <w:t>大屏显示系统</w:t>
            </w:r>
          </w:p>
        </w:tc>
        <w:tc>
          <w:tcPr>
            <w:tcW w:w="532" w:type="pct"/>
            <w:tcBorders>
              <w:top w:val="single" w:color="auto" w:sz="4" w:space="0"/>
              <w:left w:val="single" w:color="auto" w:sz="4" w:space="0"/>
              <w:bottom w:val="single" w:color="auto" w:sz="4" w:space="0"/>
              <w:right w:val="single" w:color="auto" w:sz="4" w:space="0"/>
            </w:tcBorders>
            <w:vAlign w:val="center"/>
          </w:tcPr>
          <w:p w14:paraId="1CB3201D">
            <w:pPr>
              <w:pStyle w:val="26"/>
              <w:keepNext w:val="0"/>
              <w:keepLines w:val="0"/>
              <w:pageBreakBefore w:val="0"/>
              <w:wordWrap/>
              <w:topLinePunct w:val="0"/>
              <w:bidi w:val="0"/>
              <w:spacing w:line="360" w:lineRule="auto"/>
              <w:jc w:val="center"/>
              <w:textAlignment w:val="auto"/>
              <w:rPr>
                <w:rFonts w:hint="eastAsia" w:ascii="仿宋" w:hAnsi="仿宋" w:eastAsia="仿宋" w:cs="仿宋"/>
                <w:sz w:val="21"/>
                <w:szCs w:val="21"/>
                <w:highlight w:val="none"/>
              </w:rPr>
            </w:pPr>
            <w:r>
              <w:rPr>
                <w:rFonts w:hint="eastAsia" w:ascii="仿宋" w:hAnsi="仿宋" w:eastAsia="仿宋" w:cs="仿宋"/>
                <w:spacing w:val="-11"/>
                <w:sz w:val="21"/>
                <w:szCs w:val="21"/>
                <w:highlight w:val="none"/>
              </w:rPr>
              <w:t>1</w:t>
            </w:r>
            <w:r>
              <w:rPr>
                <w:rFonts w:hint="eastAsia" w:ascii="仿宋" w:hAnsi="仿宋" w:eastAsia="仿宋" w:cs="仿宋"/>
                <w:spacing w:val="17"/>
                <w:w w:val="101"/>
                <w:sz w:val="21"/>
                <w:szCs w:val="21"/>
                <w:highlight w:val="none"/>
              </w:rPr>
              <w:t xml:space="preserve"> </w:t>
            </w:r>
            <w:r>
              <w:rPr>
                <w:rFonts w:hint="eastAsia" w:ascii="仿宋" w:hAnsi="仿宋" w:eastAsia="仿宋" w:cs="仿宋"/>
                <w:spacing w:val="-11"/>
                <w:sz w:val="21"/>
                <w:szCs w:val="21"/>
                <w:highlight w:val="none"/>
              </w:rPr>
              <w:t>项</w:t>
            </w:r>
          </w:p>
        </w:tc>
        <w:tc>
          <w:tcPr>
            <w:tcW w:w="1763" w:type="pct"/>
            <w:tcBorders>
              <w:top w:val="single" w:color="auto" w:sz="4" w:space="0"/>
              <w:left w:val="single" w:color="auto" w:sz="4" w:space="0"/>
              <w:bottom w:val="single" w:color="auto" w:sz="4" w:space="0"/>
              <w:right w:val="single" w:color="auto" w:sz="4" w:space="0"/>
            </w:tcBorders>
            <w:vAlign w:val="center"/>
          </w:tcPr>
          <w:p w14:paraId="29349B34">
            <w:pPr>
              <w:pStyle w:val="26"/>
              <w:keepNext w:val="0"/>
              <w:keepLines w:val="0"/>
              <w:pageBreakBefore w:val="0"/>
              <w:wordWrap/>
              <w:topLinePunct w:val="0"/>
              <w:bidi w:val="0"/>
              <w:spacing w:line="360" w:lineRule="auto"/>
              <w:ind w:left="122" w:right="624" w:hanging="1"/>
              <w:jc w:val="center"/>
              <w:textAlignment w:val="auto"/>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具体详见</w:t>
            </w:r>
            <w:r>
              <w:rPr>
                <w:rFonts w:hint="eastAsia" w:ascii="仿宋" w:hAnsi="仿宋" w:eastAsia="仿宋" w:cs="仿宋"/>
                <w:spacing w:val="-2"/>
                <w:sz w:val="21"/>
                <w:szCs w:val="21"/>
                <w:highlight w:val="none"/>
                <w:lang w:val="en-US" w:eastAsia="zh-CN"/>
              </w:rPr>
              <w:t>“附件1：供货清单”</w:t>
            </w:r>
            <w:r>
              <w:rPr>
                <w:rFonts w:hint="eastAsia" w:ascii="仿宋" w:hAnsi="仿宋" w:eastAsia="仿宋" w:cs="仿宋"/>
                <w:spacing w:val="-15"/>
                <w:sz w:val="21"/>
                <w:szCs w:val="21"/>
                <w:highlight w:val="none"/>
              </w:rPr>
              <w:t>。</w:t>
            </w:r>
          </w:p>
        </w:tc>
      </w:tr>
      <w:tr w14:paraId="21143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110EE27">
            <w:pPr>
              <w:pStyle w:val="26"/>
              <w:keepNext w:val="0"/>
              <w:keepLines w:val="0"/>
              <w:pageBreakBefore w:val="0"/>
              <w:wordWrap/>
              <w:topLinePunct w:val="0"/>
              <w:bidi w:val="0"/>
              <w:spacing w:line="360" w:lineRule="auto"/>
              <w:jc w:val="left"/>
              <w:textAlignment w:val="auto"/>
              <w:rPr>
                <w:rFonts w:hint="eastAsia" w:ascii="仿宋" w:hAnsi="仿宋" w:eastAsia="仿宋" w:cs="仿宋"/>
                <w:sz w:val="21"/>
                <w:szCs w:val="21"/>
                <w:highlight w:val="none"/>
              </w:rPr>
            </w:pPr>
            <w:r>
              <w:rPr>
                <w:rFonts w:hint="eastAsia" w:ascii="仿宋" w:hAnsi="仿宋" w:eastAsia="仿宋" w:cs="仿宋"/>
                <w:spacing w:val="-1"/>
                <w:sz w:val="21"/>
                <w:szCs w:val="21"/>
                <w:highlight w:val="none"/>
              </w:rPr>
              <w:t>（1）交货期要求：合同生效之日起</w:t>
            </w:r>
            <w:r>
              <w:rPr>
                <w:rFonts w:hint="eastAsia" w:ascii="仿宋" w:hAnsi="仿宋" w:eastAsia="仿宋" w:cs="仿宋"/>
                <w:spacing w:val="-1"/>
                <w:sz w:val="21"/>
                <w:szCs w:val="21"/>
                <w:highlight w:val="none"/>
                <w:lang w:val="en-US" w:eastAsia="zh-CN"/>
              </w:rPr>
              <w:t>20</w:t>
            </w:r>
            <w:r>
              <w:rPr>
                <w:rFonts w:hint="eastAsia" w:ascii="仿宋" w:hAnsi="仿宋" w:eastAsia="仿宋" w:cs="仿宋"/>
                <w:spacing w:val="-1"/>
                <w:sz w:val="21"/>
                <w:szCs w:val="21"/>
                <w:highlight w:val="none"/>
              </w:rPr>
              <w:t>个日历日内完成设备到货、安装及调</w:t>
            </w:r>
            <w:r>
              <w:rPr>
                <w:rFonts w:hint="eastAsia" w:ascii="仿宋" w:hAnsi="仿宋" w:eastAsia="仿宋" w:cs="仿宋"/>
                <w:spacing w:val="-2"/>
                <w:sz w:val="21"/>
                <w:szCs w:val="21"/>
                <w:highlight w:val="none"/>
              </w:rPr>
              <w:t>试。</w:t>
            </w:r>
          </w:p>
          <w:p w14:paraId="2CB0FCE6">
            <w:pPr>
              <w:pStyle w:val="26"/>
              <w:keepNext w:val="0"/>
              <w:keepLines w:val="0"/>
              <w:pageBreakBefore w:val="0"/>
              <w:wordWrap/>
              <w:topLinePunct w:val="0"/>
              <w:bidi w:val="0"/>
              <w:spacing w:line="360" w:lineRule="auto"/>
              <w:jc w:val="left"/>
              <w:textAlignment w:val="auto"/>
              <w:rPr>
                <w:rFonts w:hint="eastAsia" w:ascii="仿宋" w:hAnsi="仿宋" w:eastAsia="仿宋" w:cs="仿宋"/>
                <w:sz w:val="21"/>
                <w:szCs w:val="21"/>
                <w:highlight w:val="none"/>
              </w:rPr>
            </w:pPr>
            <w:r>
              <w:rPr>
                <w:rFonts w:hint="eastAsia" w:ascii="仿宋" w:hAnsi="仿宋" w:eastAsia="仿宋" w:cs="仿宋"/>
                <w:spacing w:val="-1"/>
                <w:sz w:val="21"/>
                <w:szCs w:val="21"/>
                <w:highlight w:val="none"/>
              </w:rPr>
              <w:t>（2）交货地点：</w:t>
            </w:r>
            <w:r>
              <w:rPr>
                <w:rFonts w:hint="eastAsia" w:ascii="仿宋" w:hAnsi="仿宋" w:eastAsia="仿宋" w:cs="仿宋"/>
                <w:spacing w:val="-1"/>
                <w:sz w:val="21"/>
                <w:szCs w:val="21"/>
                <w:highlight w:val="none"/>
                <w:lang w:val="en-US" w:eastAsia="zh-CN"/>
              </w:rPr>
              <w:t>最终用户</w:t>
            </w:r>
            <w:r>
              <w:rPr>
                <w:rFonts w:hint="eastAsia" w:ascii="仿宋" w:hAnsi="仿宋" w:eastAsia="仿宋" w:cs="仿宋"/>
                <w:spacing w:val="-1"/>
                <w:sz w:val="21"/>
                <w:szCs w:val="21"/>
                <w:highlight w:val="none"/>
              </w:rPr>
              <w:t>指定的地点。</w:t>
            </w:r>
          </w:p>
          <w:p w14:paraId="10E8DAC0">
            <w:pPr>
              <w:pStyle w:val="26"/>
              <w:keepNext w:val="0"/>
              <w:keepLines w:val="0"/>
              <w:pageBreakBefore w:val="0"/>
              <w:wordWrap/>
              <w:topLinePunct w:val="0"/>
              <w:bidi w:val="0"/>
              <w:spacing w:line="360" w:lineRule="auto"/>
              <w:jc w:val="left"/>
              <w:textAlignment w:val="auto"/>
              <w:rPr>
                <w:rFonts w:hint="eastAsia" w:ascii="仿宋" w:hAnsi="仿宋" w:eastAsia="仿宋" w:cs="仿宋"/>
                <w:spacing w:val="-1"/>
                <w:sz w:val="21"/>
                <w:szCs w:val="21"/>
                <w:highlight w:val="none"/>
              </w:rPr>
            </w:pPr>
            <w:r>
              <w:rPr>
                <w:rFonts w:hint="eastAsia" w:ascii="仿宋" w:hAnsi="仿宋" w:eastAsia="仿宋" w:cs="仿宋"/>
                <w:spacing w:val="-1"/>
                <w:sz w:val="21"/>
                <w:szCs w:val="21"/>
                <w:highlight w:val="none"/>
              </w:rPr>
              <w:t>（3）质量要求：符合国家有关验收标准、规范及本</w:t>
            </w:r>
            <w:r>
              <w:rPr>
                <w:rFonts w:hint="eastAsia" w:ascii="仿宋" w:hAnsi="仿宋" w:eastAsia="仿宋" w:cs="仿宋"/>
                <w:spacing w:val="-1"/>
                <w:sz w:val="21"/>
                <w:szCs w:val="21"/>
                <w:highlight w:val="none"/>
                <w:lang w:val="en-US" w:eastAsia="zh-CN"/>
              </w:rPr>
              <w:t>比选</w:t>
            </w:r>
            <w:r>
              <w:rPr>
                <w:rFonts w:hint="eastAsia" w:ascii="仿宋" w:hAnsi="仿宋" w:eastAsia="仿宋" w:cs="仿宋"/>
                <w:spacing w:val="-1"/>
                <w:sz w:val="21"/>
                <w:szCs w:val="21"/>
                <w:highlight w:val="none"/>
              </w:rPr>
              <w:t>项目</w:t>
            </w:r>
            <w:r>
              <w:rPr>
                <w:rFonts w:hint="eastAsia" w:ascii="仿宋" w:hAnsi="仿宋" w:eastAsia="仿宋" w:cs="仿宋"/>
                <w:spacing w:val="-1"/>
                <w:sz w:val="21"/>
                <w:szCs w:val="21"/>
                <w:highlight w:val="none"/>
                <w:lang w:val="en-US" w:eastAsia="zh-CN"/>
              </w:rPr>
              <w:t>相关要求</w:t>
            </w:r>
            <w:r>
              <w:rPr>
                <w:rFonts w:hint="eastAsia" w:ascii="仿宋" w:hAnsi="仿宋" w:eastAsia="仿宋" w:cs="仿宋"/>
                <w:spacing w:val="-1"/>
                <w:sz w:val="21"/>
                <w:szCs w:val="21"/>
                <w:highlight w:val="none"/>
              </w:rPr>
              <w:t>。</w:t>
            </w:r>
          </w:p>
          <w:p w14:paraId="6D99FCE9">
            <w:pPr>
              <w:pStyle w:val="29"/>
              <w:numPr>
                <w:ilvl w:val="0"/>
                <w:numId w:val="0"/>
              </w:numPr>
              <w:rPr>
                <w:rFonts w:hint="default" w:ascii="仿宋" w:hAnsi="仿宋" w:eastAsia="仿宋" w:cs="仿宋"/>
                <w:spacing w:val="-1"/>
                <w:sz w:val="21"/>
                <w:szCs w:val="21"/>
                <w:highlight w:val="yellow"/>
                <w:lang w:val="en-US" w:eastAsia="zh-CN"/>
              </w:rPr>
            </w:pPr>
            <w:bookmarkStart w:id="354" w:name="_Toc149557379"/>
            <w:r>
              <w:rPr>
                <w:rFonts w:hint="eastAsia" w:ascii="仿宋" w:hAnsi="仿宋" w:eastAsia="仿宋" w:cs="仿宋"/>
                <w:spacing w:val="-1"/>
                <w:sz w:val="21"/>
                <w:szCs w:val="21"/>
                <w:highlight w:val="none"/>
              </w:rPr>
              <w:t>（</w:t>
            </w:r>
            <w:r>
              <w:rPr>
                <w:rFonts w:hint="eastAsia" w:ascii="仿宋" w:hAnsi="仿宋" w:eastAsia="仿宋" w:cs="仿宋"/>
                <w:spacing w:val="-1"/>
                <w:sz w:val="21"/>
                <w:szCs w:val="21"/>
                <w:highlight w:val="none"/>
                <w:lang w:val="en-US" w:eastAsia="zh-CN"/>
              </w:rPr>
              <w:t>4</w:t>
            </w:r>
            <w:r>
              <w:rPr>
                <w:rFonts w:hint="eastAsia" w:ascii="仿宋" w:hAnsi="仿宋" w:eastAsia="仿宋" w:cs="仿宋"/>
                <w:spacing w:val="-1"/>
                <w:sz w:val="21"/>
                <w:szCs w:val="21"/>
                <w:highlight w:val="none"/>
              </w:rPr>
              <w:t>）</w:t>
            </w:r>
            <w:r>
              <w:rPr>
                <w:rFonts w:hint="eastAsia" w:ascii="仿宋" w:hAnsi="仿宋" w:eastAsia="仿宋" w:cs="仿宋"/>
                <w:spacing w:val="-1"/>
                <w:kern w:val="2"/>
                <w:sz w:val="21"/>
                <w:szCs w:val="21"/>
                <w:highlight w:val="none"/>
                <w:lang w:val="en-US" w:eastAsia="zh-CN" w:bidi="ar-SA"/>
              </w:rPr>
              <w:t>维保服务：</w:t>
            </w:r>
            <w:r>
              <w:rPr>
                <w:rFonts w:hint="eastAsia" w:ascii="仿宋" w:hAnsi="仿宋" w:eastAsia="仿宋" w:cs="仿宋"/>
                <w:spacing w:val="-1"/>
                <w:kern w:val="2"/>
                <w:sz w:val="21"/>
                <w:szCs w:val="21"/>
                <w:highlight w:val="none"/>
                <w:lang w:val="en-US" w:eastAsia="en-US" w:bidi="ar-SA"/>
              </w:rPr>
              <w:t>自</w:t>
            </w:r>
            <w:r>
              <w:rPr>
                <w:rFonts w:hint="eastAsia" w:cs="仿宋"/>
                <w:spacing w:val="-1"/>
                <w:kern w:val="2"/>
                <w:sz w:val="21"/>
                <w:szCs w:val="21"/>
                <w:highlight w:val="none"/>
                <w:lang w:val="en-US" w:eastAsia="zh-CN" w:bidi="ar-SA"/>
              </w:rPr>
              <w:t>项目通过终验</w:t>
            </w:r>
            <w:r>
              <w:rPr>
                <w:rFonts w:hint="eastAsia" w:ascii="仿宋" w:hAnsi="仿宋" w:eastAsia="仿宋" w:cs="仿宋"/>
                <w:spacing w:val="-1"/>
                <w:kern w:val="2"/>
                <w:sz w:val="21"/>
                <w:szCs w:val="21"/>
                <w:highlight w:val="none"/>
                <w:lang w:val="en-US" w:eastAsia="en-US" w:bidi="ar-SA"/>
              </w:rPr>
              <w:t>之日起，</w:t>
            </w:r>
            <w:r>
              <w:rPr>
                <w:rFonts w:hint="eastAsia" w:cs="仿宋"/>
                <w:spacing w:val="-1"/>
                <w:kern w:val="2"/>
                <w:sz w:val="21"/>
                <w:szCs w:val="21"/>
                <w:highlight w:val="none"/>
                <w:lang w:val="en-US" w:eastAsia="zh-CN" w:bidi="ar-SA"/>
              </w:rPr>
              <w:t>提供2年质保</w:t>
            </w:r>
            <w:bookmarkEnd w:id="354"/>
            <w:r>
              <w:rPr>
                <w:rFonts w:hint="eastAsia" w:cs="仿宋"/>
                <w:spacing w:val="-1"/>
                <w:kern w:val="2"/>
                <w:sz w:val="21"/>
                <w:szCs w:val="21"/>
                <w:highlight w:val="none"/>
                <w:lang w:val="en-US" w:eastAsia="zh-CN" w:bidi="ar-SA"/>
              </w:rPr>
              <w:t>。</w:t>
            </w:r>
          </w:p>
        </w:tc>
      </w:tr>
    </w:tbl>
    <w:p w14:paraId="4DD1EDC2">
      <w:pPr>
        <w:numPr>
          <w:ilvl w:val="0"/>
          <w:numId w:val="17"/>
        </w:numPr>
        <w:spacing w:line="560" w:lineRule="exact"/>
        <w:ind w:firstLine="482" w:firstLineChars="200"/>
        <w:rPr>
          <w:rFonts w:hint="eastAsia" w:ascii="Times New Roman" w:hAnsi="Times New Roman" w:eastAsia="仿宋" w:cs="仿宋"/>
          <w:b/>
          <w:bCs/>
          <w:color w:val="000000"/>
        </w:rPr>
      </w:pPr>
      <w:r>
        <w:rPr>
          <w:rFonts w:hint="eastAsia" w:ascii="Times New Roman" w:hAnsi="Times New Roman" w:eastAsia="仿宋" w:cs="仿宋"/>
          <w:b/>
          <w:bCs/>
          <w:color w:val="000000"/>
        </w:rPr>
        <w:t>合同价格与支付方式：</w:t>
      </w:r>
    </w:p>
    <w:p w14:paraId="6FB00E47">
      <w:pPr>
        <w:keepNext w:val="0"/>
        <w:keepLines w:val="0"/>
        <w:pageBreakBefore w:val="0"/>
        <w:kinsoku/>
        <w:wordWrap/>
        <w:overflowPunct/>
        <w:topLinePunct w:val="0"/>
        <w:bidi w:val="0"/>
        <w:adjustRightInd/>
        <w:snapToGrid/>
        <w:spacing w:line="520" w:lineRule="exact"/>
        <w:ind w:left="0" w:firstLine="480" w:firstLineChars="200"/>
        <w:jc w:val="both"/>
        <w:textAlignment w:val="auto"/>
        <w:rPr>
          <w:rFonts w:hint="default" w:ascii="Times New Roman" w:hAnsi="Times New Roman" w:eastAsia="仿宋" w:cs="仿宋"/>
          <w:caps w:val="0"/>
          <w:color w:val="000000"/>
          <w:highlight w:val="none"/>
          <w:lang w:val="en-US" w:eastAsia="zh-CN"/>
        </w:rPr>
      </w:pPr>
      <w:r>
        <w:rPr>
          <w:rFonts w:hint="eastAsia" w:ascii="Times New Roman" w:hAnsi="Times New Roman" w:eastAsia="仿宋" w:cs="仿宋"/>
          <w:caps w:val="0"/>
          <w:color w:val="000000"/>
          <w:highlight w:val="none"/>
          <w:lang w:eastAsia="zh-CN"/>
        </w:rPr>
        <w:t>（</w:t>
      </w:r>
      <w:r>
        <w:rPr>
          <w:rFonts w:hint="eastAsia" w:ascii="Times New Roman" w:hAnsi="Times New Roman" w:eastAsia="仿宋" w:cs="仿宋"/>
          <w:caps w:val="0"/>
          <w:color w:val="000000"/>
          <w:highlight w:val="none"/>
          <w:lang w:val="en-US" w:eastAsia="zh-CN"/>
        </w:rPr>
        <w:t>一</w:t>
      </w:r>
      <w:r>
        <w:rPr>
          <w:rFonts w:hint="eastAsia" w:ascii="Times New Roman" w:hAnsi="Times New Roman" w:eastAsia="仿宋" w:cs="仿宋"/>
          <w:caps w:val="0"/>
          <w:color w:val="000000"/>
          <w:highlight w:val="none"/>
          <w:lang w:eastAsia="zh-CN"/>
        </w:rPr>
        <w:t>）</w:t>
      </w:r>
      <w:r>
        <w:rPr>
          <w:rFonts w:hint="eastAsia" w:ascii="Times New Roman" w:hAnsi="Times New Roman" w:eastAsia="仿宋" w:cs="仿宋"/>
          <w:caps w:val="0"/>
          <w:color w:val="000000"/>
          <w:highlight w:val="none"/>
          <w:lang w:val="en-US" w:eastAsia="zh-CN"/>
        </w:rPr>
        <w:t>合同价格</w:t>
      </w:r>
    </w:p>
    <w:p w14:paraId="41A8F1E3">
      <w:pPr>
        <w:keepNext w:val="0"/>
        <w:keepLines w:val="0"/>
        <w:pageBreakBefore w:val="0"/>
        <w:kinsoku/>
        <w:wordWrap/>
        <w:overflowPunct/>
        <w:topLinePunct w:val="0"/>
        <w:bidi w:val="0"/>
        <w:adjustRightInd/>
        <w:snapToGrid/>
        <w:spacing w:line="520" w:lineRule="exact"/>
        <w:ind w:left="0" w:firstLine="480" w:firstLineChars="200"/>
        <w:jc w:val="both"/>
        <w:textAlignment w:val="auto"/>
        <w:rPr>
          <w:rFonts w:hint="eastAsia" w:ascii="Times New Roman" w:hAnsi="Times New Roman" w:eastAsia="仿宋" w:cs="仿宋"/>
          <w:caps w:val="0"/>
          <w:color w:val="000000"/>
          <w:highlight w:val="none"/>
        </w:rPr>
      </w:pPr>
      <w:r>
        <w:rPr>
          <w:rFonts w:hint="eastAsia" w:ascii="Times New Roman" w:hAnsi="Times New Roman" w:eastAsia="仿宋" w:cs="宋体"/>
          <w:snapToGrid w:val="0"/>
          <w:lang w:eastAsia="zh-CN"/>
        </w:rPr>
        <w:t>大屏显示系统建设项目</w:t>
      </w:r>
      <w:r>
        <w:rPr>
          <w:rFonts w:hint="eastAsia" w:ascii="Times New Roman" w:hAnsi="Times New Roman" w:eastAsia="仿宋" w:cs="仿宋"/>
          <w:color w:val="000000"/>
        </w:rPr>
        <w:t>的合同金额（含税） ￥</w:t>
      </w:r>
      <w:r>
        <w:rPr>
          <w:rFonts w:hint="eastAsia" w:ascii="Times New Roman" w:hAnsi="Times New Roman" w:eastAsia="仿宋" w:cs="仿宋"/>
          <w:color w:val="000000"/>
          <w:u w:val="single"/>
        </w:rPr>
        <w:t xml:space="preserve">       </w:t>
      </w:r>
      <w:r>
        <w:rPr>
          <w:rFonts w:hint="eastAsia" w:ascii="Times New Roman" w:hAnsi="Times New Roman" w:eastAsia="仿宋" w:cs="仿宋"/>
          <w:color w:val="000000"/>
        </w:rPr>
        <w:t>元整（大写：人民币</w:t>
      </w:r>
      <w:r>
        <w:rPr>
          <w:rFonts w:hint="eastAsia" w:ascii="Times New Roman" w:hAnsi="Times New Roman" w:eastAsia="仿宋" w:cs="仿宋"/>
          <w:color w:val="000000"/>
          <w:u w:val="single"/>
        </w:rPr>
        <w:t xml:space="preserve">        </w:t>
      </w:r>
      <w:r>
        <w:rPr>
          <w:rFonts w:hint="eastAsia" w:ascii="Times New Roman" w:hAnsi="Times New Roman" w:eastAsia="仿宋" w:cs="仿宋"/>
          <w:color w:val="000000"/>
        </w:rPr>
        <w:t>元整）</w:t>
      </w:r>
      <w:r>
        <w:rPr>
          <w:rFonts w:hint="eastAsia" w:ascii="Times New Roman" w:hAnsi="Times New Roman" w:eastAsia="仿宋" w:cs="仿宋"/>
          <w:color w:val="000000"/>
          <w:lang w:eastAsia="zh-CN"/>
        </w:rPr>
        <w:t>，</w:t>
      </w:r>
      <w:r>
        <w:rPr>
          <w:rFonts w:hint="eastAsia" w:ascii="Times New Roman" w:hAnsi="Times New Roman" w:eastAsia="仿宋" w:cs="仿宋"/>
          <w:caps w:val="0"/>
          <w:color w:val="000000"/>
          <w:highlight w:val="none"/>
        </w:rPr>
        <w:t>甲方无需另行支付增值税或其它种的税额，与本合同有关的税务事项由乙方负责。</w:t>
      </w:r>
    </w:p>
    <w:p w14:paraId="1C966A94">
      <w:pPr>
        <w:keepNext w:val="0"/>
        <w:keepLines w:val="0"/>
        <w:pageBreakBefore w:val="0"/>
        <w:kinsoku/>
        <w:wordWrap/>
        <w:overflowPunct/>
        <w:topLinePunct w:val="0"/>
        <w:bidi w:val="0"/>
        <w:adjustRightInd/>
        <w:snapToGrid/>
        <w:spacing w:line="520" w:lineRule="exact"/>
        <w:ind w:left="0" w:firstLine="480" w:firstLineChars="200"/>
        <w:jc w:val="both"/>
        <w:textAlignment w:val="auto"/>
        <w:rPr>
          <w:rFonts w:hint="eastAsia" w:ascii="Times New Roman" w:hAnsi="Times New Roman" w:eastAsia="仿宋" w:cs="仿宋"/>
          <w:caps w:val="0"/>
          <w:color w:val="000000"/>
          <w:highlight w:val="none"/>
        </w:rPr>
      </w:pPr>
      <w:r>
        <w:rPr>
          <w:rFonts w:hint="eastAsia" w:ascii="Times New Roman" w:hAnsi="Times New Roman" w:eastAsia="仿宋" w:cs="仿宋"/>
          <w:caps w:val="0"/>
          <w:color w:val="000000"/>
          <w:highlight w:val="none"/>
        </w:rPr>
        <w:t>合同履行期间，如遇国家税收政策调整，则本合同未开票部分所对应的不含税金额保持不变，未开票部分的价税合计金额按开票时税率重新计算。该合同总价为含税包干价，包含增值税、乙方服务人员提供服务过程中的交通、差旅及项目建设、初验、终验等发生的一切费用。</w:t>
      </w:r>
    </w:p>
    <w:p w14:paraId="03696F4A">
      <w:pPr>
        <w:keepNext w:val="0"/>
        <w:keepLines w:val="0"/>
        <w:pageBreakBefore w:val="0"/>
        <w:kinsoku/>
        <w:wordWrap/>
        <w:overflowPunct/>
        <w:topLinePunct w:val="0"/>
        <w:bidi w:val="0"/>
        <w:adjustRightInd/>
        <w:snapToGrid/>
        <w:spacing w:line="520" w:lineRule="exact"/>
        <w:ind w:left="0" w:firstLine="480" w:firstLineChars="200"/>
        <w:jc w:val="both"/>
        <w:textAlignment w:val="auto"/>
        <w:rPr>
          <w:rFonts w:hint="default" w:ascii="Times New Roman" w:hAnsi="Times New Roman" w:eastAsia="仿宋"/>
          <w:caps w:val="0"/>
          <w:snapToGrid w:val="0"/>
          <w:highlight w:val="none"/>
          <w:lang w:val="en-US"/>
        </w:rPr>
      </w:pPr>
      <w:r>
        <w:rPr>
          <w:rFonts w:hint="eastAsia" w:ascii="Times New Roman" w:hAnsi="Times New Roman" w:eastAsia="仿宋" w:cs="仿宋"/>
          <w:caps w:val="0"/>
          <w:color w:val="000000"/>
          <w:highlight w:val="none"/>
          <w:lang w:eastAsia="zh-CN"/>
        </w:rPr>
        <w:t>（</w:t>
      </w:r>
      <w:r>
        <w:rPr>
          <w:rFonts w:hint="eastAsia" w:ascii="Times New Roman" w:hAnsi="Times New Roman" w:eastAsia="仿宋" w:cs="仿宋"/>
          <w:caps w:val="0"/>
          <w:color w:val="000000"/>
          <w:highlight w:val="none"/>
          <w:lang w:val="en-US" w:eastAsia="zh-CN"/>
        </w:rPr>
        <w:t>二</w:t>
      </w:r>
      <w:r>
        <w:rPr>
          <w:rFonts w:hint="eastAsia" w:ascii="Times New Roman" w:hAnsi="Times New Roman" w:eastAsia="仿宋" w:cs="仿宋"/>
          <w:caps w:val="0"/>
          <w:color w:val="000000"/>
          <w:highlight w:val="none"/>
          <w:lang w:eastAsia="zh-CN"/>
        </w:rPr>
        <w:t>）</w:t>
      </w:r>
      <w:r>
        <w:rPr>
          <w:rFonts w:hint="eastAsia" w:ascii="Times New Roman" w:hAnsi="Times New Roman" w:eastAsia="仿宋" w:cs="仿宋"/>
          <w:caps w:val="0"/>
          <w:color w:val="000000"/>
          <w:highlight w:val="none"/>
          <w:lang w:val="en-US" w:eastAsia="zh-CN"/>
        </w:rPr>
        <w:t>支付方式</w:t>
      </w:r>
    </w:p>
    <w:p w14:paraId="18A02E3F">
      <w:pPr>
        <w:autoSpaceDE w:val="0"/>
        <w:autoSpaceDN w:val="0"/>
        <w:spacing w:line="560" w:lineRule="exact"/>
        <w:ind w:firstLine="480" w:firstLineChars="200"/>
        <w:jc w:val="both"/>
        <w:rPr>
          <w:rFonts w:hint="eastAsia" w:ascii="Times New Roman" w:hAnsi="Times New Roman" w:eastAsia="仿宋"/>
          <w:snapToGrid w:val="0"/>
        </w:rPr>
      </w:pPr>
      <w:r>
        <w:rPr>
          <w:rFonts w:hint="eastAsia" w:ascii="Times New Roman" w:hAnsi="Times New Roman" w:eastAsia="仿宋" w:cs="仿宋"/>
          <w:color w:val="000000"/>
          <w:lang w:val="en-US" w:eastAsia="zh-CN"/>
        </w:rPr>
        <w:t>乙方</w:t>
      </w:r>
      <w:r>
        <w:rPr>
          <w:rFonts w:hint="eastAsia" w:ascii="Times New Roman" w:hAnsi="Times New Roman" w:eastAsia="仿宋"/>
          <w:snapToGrid w:val="0"/>
        </w:rPr>
        <w:t>完成设备</w:t>
      </w:r>
      <w:r>
        <w:rPr>
          <w:rFonts w:hint="eastAsia" w:ascii="Times New Roman" w:hAnsi="Times New Roman" w:eastAsia="仿宋"/>
          <w:snapToGrid w:val="0"/>
          <w:lang w:val="en-US" w:eastAsia="zh-CN"/>
        </w:rPr>
        <w:t>到货、</w:t>
      </w:r>
      <w:r>
        <w:rPr>
          <w:rFonts w:hint="eastAsia" w:ascii="Times New Roman" w:hAnsi="Times New Roman" w:eastAsia="仿宋"/>
          <w:snapToGrid w:val="0"/>
        </w:rPr>
        <w:t>安装、施工、调试，试运行满1个月，乙方提供</w:t>
      </w:r>
      <w:r>
        <w:rPr>
          <w:rFonts w:hint="eastAsia" w:ascii="Times New Roman" w:hAnsi="Times New Roman" w:eastAsia="仿宋"/>
          <w:snapToGrid w:val="0"/>
          <w:lang w:val="en-US" w:eastAsia="zh-CN"/>
        </w:rPr>
        <w:t>原厂质保承诺函及</w:t>
      </w:r>
      <w:r>
        <w:rPr>
          <w:rFonts w:hint="eastAsia" w:ascii="Times New Roman" w:hAnsi="Times New Roman" w:eastAsia="仿宋"/>
          <w:snapToGrid w:val="0"/>
        </w:rPr>
        <w:t>合同总金额</w:t>
      </w:r>
      <w:r>
        <w:rPr>
          <w:rFonts w:hint="eastAsia" w:ascii="Times New Roman" w:hAnsi="Times New Roman" w:eastAsia="仿宋"/>
          <w:snapToGrid w:val="0"/>
          <w:lang w:val="en-US" w:eastAsia="zh-CN"/>
        </w:rPr>
        <w:t>10</w:t>
      </w:r>
      <w:r>
        <w:rPr>
          <w:rFonts w:hint="eastAsia" w:ascii="Times New Roman" w:hAnsi="Times New Roman" w:eastAsia="仿宋"/>
          <w:snapToGrid w:val="0"/>
        </w:rPr>
        <w:t>0%的增值税专用发票，甲方于15个工作日内向</w:t>
      </w:r>
      <w:r>
        <w:rPr>
          <w:rFonts w:hint="eastAsia" w:ascii="Times New Roman" w:hAnsi="Times New Roman" w:eastAsia="仿宋"/>
          <w:snapToGrid w:val="0"/>
          <w:lang w:val="en-US" w:eastAsia="zh-CN"/>
        </w:rPr>
        <w:t>乙方</w:t>
      </w:r>
      <w:r>
        <w:rPr>
          <w:rFonts w:hint="eastAsia" w:ascii="Times New Roman" w:hAnsi="Times New Roman" w:eastAsia="仿宋"/>
          <w:snapToGrid w:val="0"/>
        </w:rPr>
        <w:t>支付合同</w:t>
      </w:r>
      <w:r>
        <w:rPr>
          <w:rFonts w:hint="eastAsia" w:ascii="Times New Roman" w:hAnsi="Times New Roman" w:eastAsia="仿宋"/>
          <w:snapToGrid w:val="0"/>
          <w:lang w:val="en-US" w:eastAsia="zh-CN"/>
        </w:rPr>
        <w:t>100%款项</w:t>
      </w:r>
      <w:r>
        <w:rPr>
          <w:rFonts w:hint="eastAsia" w:ascii="Times New Roman" w:hAnsi="Times New Roman" w:eastAsia="仿宋"/>
          <w:snapToGrid w:val="0"/>
        </w:rPr>
        <w:t>，即人民币       元整（¥       元）。</w:t>
      </w:r>
    </w:p>
    <w:p w14:paraId="6D6A06B4">
      <w:pPr>
        <w:pStyle w:val="2"/>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default" w:ascii="Times New Roman" w:hAnsi="Times New Roman" w:eastAsia="仿宋" w:cs="仿宋"/>
          <w:b w:val="0"/>
          <w:bCs/>
          <w:caps w:val="0"/>
          <w:color w:val="000000"/>
          <w:highlight w:val="none"/>
          <w:u w:val="none"/>
          <w:lang w:val="en-US" w:eastAsia="zh-CN"/>
        </w:rPr>
      </w:pPr>
      <w:r>
        <w:rPr>
          <w:rFonts w:hint="eastAsia" w:ascii="Times New Roman" w:hAnsi="Times New Roman" w:eastAsia="仿宋" w:cs="仿宋"/>
          <w:b w:val="0"/>
          <w:bCs/>
          <w:caps w:val="0"/>
          <w:color w:val="000000"/>
          <w:highlight w:val="none"/>
          <w:u w:val="none"/>
          <w:lang w:eastAsia="zh-CN"/>
        </w:rPr>
        <w:t>（</w:t>
      </w:r>
      <w:r>
        <w:rPr>
          <w:rFonts w:hint="eastAsia" w:ascii="Times New Roman" w:hAnsi="Times New Roman" w:eastAsia="仿宋" w:cs="仿宋"/>
          <w:b w:val="0"/>
          <w:bCs/>
          <w:caps w:val="0"/>
          <w:color w:val="000000"/>
          <w:highlight w:val="none"/>
          <w:u w:val="none"/>
          <w:lang w:val="en-US" w:eastAsia="zh-CN"/>
        </w:rPr>
        <w:t>三</w:t>
      </w:r>
      <w:r>
        <w:rPr>
          <w:rFonts w:hint="eastAsia" w:ascii="Times New Roman" w:hAnsi="Times New Roman" w:eastAsia="仿宋" w:cs="仿宋"/>
          <w:b w:val="0"/>
          <w:bCs/>
          <w:caps w:val="0"/>
          <w:color w:val="000000"/>
          <w:highlight w:val="none"/>
          <w:u w:val="none"/>
          <w:lang w:eastAsia="zh-CN"/>
        </w:rPr>
        <w:t>）</w:t>
      </w:r>
      <w:r>
        <w:rPr>
          <w:rFonts w:hint="eastAsia" w:ascii="Times New Roman" w:hAnsi="Times New Roman" w:eastAsia="仿宋" w:cs="仿宋"/>
          <w:b w:val="0"/>
          <w:bCs/>
          <w:caps w:val="0"/>
          <w:color w:val="000000"/>
          <w:highlight w:val="none"/>
          <w:u w:val="none"/>
          <w:lang w:val="en-US" w:eastAsia="zh-CN"/>
        </w:rPr>
        <w:t>乙方账户信息</w:t>
      </w:r>
    </w:p>
    <w:p w14:paraId="626230F6">
      <w:pPr>
        <w:pStyle w:val="2"/>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b w:val="0"/>
          <w:bCs/>
          <w:caps w:val="0"/>
          <w:color w:val="000000"/>
          <w:highlight w:val="none"/>
          <w:u w:val="none"/>
          <w:lang w:val="en-US" w:eastAsia="zh-CN"/>
        </w:rPr>
      </w:pPr>
      <w:r>
        <w:rPr>
          <w:rFonts w:hint="eastAsia" w:ascii="Times New Roman" w:hAnsi="Times New Roman" w:eastAsia="仿宋" w:cs="仿宋"/>
          <w:b w:val="0"/>
          <w:bCs/>
          <w:caps w:val="0"/>
          <w:color w:val="000000"/>
          <w:highlight w:val="none"/>
          <w:u w:val="none"/>
          <w:lang w:val="en-US" w:eastAsia="zh-CN"/>
        </w:rPr>
        <w:t>户名：</w:t>
      </w:r>
    </w:p>
    <w:p w14:paraId="1D34892D">
      <w:pPr>
        <w:pStyle w:val="2"/>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b w:val="0"/>
          <w:bCs/>
          <w:caps w:val="0"/>
          <w:color w:val="000000"/>
          <w:highlight w:val="none"/>
          <w:u w:val="none"/>
          <w:lang w:val="en-US" w:eastAsia="zh-CN"/>
        </w:rPr>
      </w:pPr>
      <w:r>
        <w:rPr>
          <w:rFonts w:hint="eastAsia" w:ascii="Times New Roman" w:hAnsi="Times New Roman" w:eastAsia="仿宋" w:cs="仿宋"/>
          <w:b w:val="0"/>
          <w:bCs/>
          <w:caps w:val="0"/>
          <w:color w:val="000000"/>
          <w:highlight w:val="none"/>
          <w:u w:val="none"/>
          <w:lang w:val="en-US" w:eastAsia="zh-CN"/>
        </w:rPr>
        <w:t>开户银行：</w:t>
      </w:r>
    </w:p>
    <w:p w14:paraId="2330E5E3">
      <w:pPr>
        <w:pStyle w:val="2"/>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b w:val="0"/>
          <w:bCs/>
          <w:caps w:val="0"/>
          <w:color w:val="000000"/>
          <w:highlight w:val="none"/>
          <w:u w:val="none"/>
          <w:lang w:val="en-US" w:eastAsia="zh-CN"/>
        </w:rPr>
      </w:pPr>
      <w:r>
        <w:rPr>
          <w:rFonts w:hint="eastAsia" w:ascii="Times New Roman" w:hAnsi="Times New Roman" w:eastAsia="仿宋" w:cs="仿宋"/>
          <w:b w:val="0"/>
          <w:bCs/>
          <w:caps w:val="0"/>
          <w:color w:val="000000"/>
          <w:highlight w:val="none"/>
          <w:u w:val="none"/>
          <w:lang w:val="en-US" w:eastAsia="zh-CN"/>
        </w:rPr>
        <w:t>账号：</w:t>
      </w:r>
    </w:p>
    <w:p w14:paraId="3E324DDC">
      <w:pPr>
        <w:keepNext w:val="0"/>
        <w:keepLines w:val="0"/>
        <w:pageBreakBefore w:val="0"/>
        <w:kinsoku/>
        <w:wordWrap/>
        <w:overflowPunct/>
        <w:topLinePunct w:val="0"/>
        <w:bidi w:val="0"/>
        <w:adjustRightInd/>
        <w:snapToGrid/>
        <w:spacing w:line="520" w:lineRule="exact"/>
        <w:ind w:left="0" w:firstLine="480" w:firstLineChars="200"/>
        <w:textAlignment w:val="auto"/>
        <w:rPr>
          <w:rFonts w:hint="eastAsia" w:ascii="Times New Roman" w:hAnsi="Times New Roman"/>
          <w:caps w:val="0"/>
          <w:lang w:val="en-US" w:eastAsia="zh-CN"/>
        </w:rPr>
      </w:pPr>
      <w:r>
        <w:rPr>
          <w:rFonts w:hint="eastAsia" w:ascii="Times New Roman" w:hAnsi="Times New Roman" w:eastAsia="仿宋" w:cs="仿宋"/>
          <w:caps w:val="0"/>
          <w:color w:val="000000"/>
          <w:highlight w:val="none"/>
          <w:lang w:eastAsia="zh-CN"/>
        </w:rPr>
        <w:t>（</w:t>
      </w:r>
      <w:r>
        <w:rPr>
          <w:rFonts w:hint="eastAsia" w:ascii="Times New Roman" w:hAnsi="Times New Roman" w:eastAsia="仿宋" w:cs="仿宋"/>
          <w:caps w:val="0"/>
          <w:color w:val="000000"/>
          <w:highlight w:val="none"/>
          <w:lang w:val="en-US" w:eastAsia="zh-CN"/>
        </w:rPr>
        <w:t>四</w:t>
      </w:r>
      <w:r>
        <w:rPr>
          <w:rFonts w:hint="eastAsia" w:ascii="Times New Roman" w:hAnsi="Times New Roman" w:eastAsia="仿宋" w:cs="仿宋"/>
          <w:caps w:val="0"/>
          <w:color w:val="000000"/>
          <w:highlight w:val="none"/>
          <w:lang w:eastAsia="zh-CN"/>
        </w:rPr>
        <w:t>）</w:t>
      </w:r>
      <w:r>
        <w:rPr>
          <w:rFonts w:hint="eastAsia" w:ascii="Times New Roman" w:hAnsi="Times New Roman" w:eastAsia="仿宋" w:cs="仿宋"/>
          <w:caps w:val="0"/>
          <w:color w:val="000000"/>
          <w:highlight w:val="none"/>
          <w:lang w:val="en-US" w:eastAsia="zh-CN"/>
        </w:rPr>
        <w:t>甲方开票信息</w:t>
      </w:r>
    </w:p>
    <w:p w14:paraId="25588766">
      <w:pPr>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caps w:val="0"/>
          <w:lang w:val="en-US" w:eastAsia="zh-CN"/>
        </w:rPr>
      </w:pPr>
      <w:r>
        <w:rPr>
          <w:rFonts w:hint="eastAsia" w:ascii="Times New Roman" w:hAnsi="Times New Roman" w:eastAsia="仿宋" w:cs="仿宋"/>
          <w:caps w:val="0"/>
          <w:lang w:val="en-US" w:eastAsia="zh-CN"/>
        </w:rPr>
        <w:t>单位名称：</w:t>
      </w:r>
      <w:r>
        <w:rPr>
          <w:rFonts w:hint="eastAsia" w:ascii="Times New Roman" w:hAnsi="Times New Roman" w:eastAsia="仿宋" w:cs="仿宋"/>
          <w:caps w:val="0"/>
          <w:color w:val="000000"/>
          <w:highlight w:val="none"/>
        </w:rPr>
        <w:t>福建省能源石化信息科技有限责任公司</w:t>
      </w:r>
    </w:p>
    <w:p w14:paraId="69191853">
      <w:pPr>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caps w:val="0"/>
          <w:lang w:val="en-US" w:eastAsia="zh-CN"/>
        </w:rPr>
      </w:pPr>
      <w:r>
        <w:rPr>
          <w:rFonts w:hint="eastAsia" w:ascii="Times New Roman" w:hAnsi="Times New Roman" w:eastAsia="仿宋" w:cs="仿宋"/>
          <w:caps w:val="0"/>
          <w:lang w:val="en-US" w:eastAsia="zh-CN"/>
        </w:rPr>
        <w:t>纳税人识别号：91350102MAD8E16PXX</w:t>
      </w:r>
    </w:p>
    <w:p w14:paraId="1895A4D7">
      <w:pPr>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caps w:val="0"/>
          <w:lang w:val="en-US" w:eastAsia="zh-CN"/>
        </w:rPr>
      </w:pPr>
      <w:r>
        <w:rPr>
          <w:rFonts w:hint="eastAsia" w:ascii="Times New Roman" w:hAnsi="Times New Roman" w:eastAsia="仿宋" w:cs="仿宋"/>
          <w:caps w:val="0"/>
          <w:lang w:val="en-US" w:eastAsia="zh-CN"/>
        </w:rPr>
        <w:t>地址：福建省福州市晋安区塔头路396号能源石化大厦15楼</w:t>
      </w:r>
    </w:p>
    <w:p w14:paraId="0CBFCB0E">
      <w:pPr>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caps w:val="0"/>
          <w:lang w:val="en-US" w:eastAsia="zh-CN"/>
        </w:rPr>
      </w:pPr>
      <w:r>
        <w:rPr>
          <w:rFonts w:hint="eastAsia" w:ascii="Times New Roman" w:hAnsi="Times New Roman" w:eastAsia="仿宋" w:cs="仿宋"/>
          <w:caps w:val="0"/>
          <w:lang w:val="en-US" w:eastAsia="zh-CN"/>
        </w:rPr>
        <w:t>开户行：中国工商银行股份有限公司福州鼓楼支行</w:t>
      </w:r>
    </w:p>
    <w:p w14:paraId="3B3AF448">
      <w:pPr>
        <w:keepNext w:val="0"/>
        <w:keepLines w:val="0"/>
        <w:pageBreakBefore w:val="0"/>
        <w:widowControl/>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caps w:val="0"/>
          <w:lang w:val="en-US" w:eastAsia="zh-CN"/>
        </w:rPr>
      </w:pPr>
      <w:r>
        <w:rPr>
          <w:rFonts w:hint="eastAsia" w:ascii="Times New Roman" w:hAnsi="Times New Roman" w:eastAsia="仿宋" w:cs="仿宋"/>
          <w:caps w:val="0"/>
          <w:lang w:val="en-US" w:eastAsia="zh-CN"/>
        </w:rPr>
        <w:t>账号：1402023209600463636</w:t>
      </w:r>
    </w:p>
    <w:p w14:paraId="3829004E">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rFonts w:hint="eastAsia" w:ascii="Times New Roman" w:hAnsi="Times New Roman" w:eastAsia="仿宋" w:cs="仿宋"/>
          <w:b/>
          <w:bCs/>
          <w:color w:val="000000"/>
          <w:sz w:val="24"/>
          <w:szCs w:val="24"/>
          <w:highlight w:val="none"/>
        </w:rPr>
      </w:pPr>
      <w:bookmarkStart w:id="355" w:name="_Toc2295"/>
      <w:r>
        <w:rPr>
          <w:rFonts w:hint="eastAsia" w:ascii="Times New Roman" w:hAnsi="Times New Roman" w:eastAsia="仿宋" w:cs="仿宋"/>
          <w:b/>
          <w:bCs/>
          <w:color w:val="000000"/>
          <w:sz w:val="24"/>
          <w:szCs w:val="24"/>
          <w:highlight w:val="none"/>
        </w:rPr>
        <w:t>交付与验收</w:t>
      </w:r>
      <w:bookmarkEnd w:id="355"/>
    </w:p>
    <w:p w14:paraId="202782ED">
      <w:pPr>
        <w:keepNext w:val="0"/>
        <w:keepLines w:val="0"/>
        <w:pageBreakBefore w:val="0"/>
        <w:kinsoku/>
        <w:wordWrap/>
        <w:overflowPunct/>
        <w:topLinePunct w:val="0"/>
        <w:bidi w:val="0"/>
        <w:adjustRightInd/>
        <w:snapToGrid/>
        <w:spacing w:line="520" w:lineRule="exact"/>
        <w:ind w:left="0" w:firstLine="480" w:firstLineChars="200"/>
        <w:textAlignment w:val="auto"/>
        <w:rPr>
          <w:rFonts w:hint="eastAsia" w:ascii="Times New Roman" w:hAnsi="Times New Roman" w:eastAsia="仿宋" w:cs="仿宋"/>
          <w:color w:val="000000"/>
          <w:sz w:val="24"/>
          <w:szCs w:val="24"/>
          <w:highlight w:val="none"/>
        </w:rPr>
      </w:pPr>
      <w:bookmarkStart w:id="356" w:name="_Toc20408"/>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lang w:val="en-US" w:eastAsia="zh-CN"/>
        </w:rPr>
        <w:t>一</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rPr>
        <w:t>验收标准</w:t>
      </w:r>
      <w:bookmarkEnd w:id="356"/>
    </w:p>
    <w:p w14:paraId="0E1B1505">
      <w:pPr>
        <w:keepNext w:val="0"/>
        <w:keepLines w:val="0"/>
        <w:pageBreakBefore w:val="0"/>
        <w:kinsoku/>
        <w:wordWrap/>
        <w:overflowPunct/>
        <w:topLinePunct w:val="0"/>
        <w:bidi w:val="0"/>
        <w:adjustRightInd/>
        <w:snapToGrid/>
        <w:spacing w:line="520" w:lineRule="exact"/>
        <w:ind w:left="0" w:firstLine="480" w:firstLineChars="200"/>
        <w:textAlignment w:val="auto"/>
        <w:rPr>
          <w:rFonts w:hint="eastAsia"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乙方所提供的与本项目有关的产品必须符合国家标准、地方标准、行业标准，以及有关技术规范和产品厂家的出厂标准，提供原厂合格证等有关文件资料，并保证产品是全新、合格的原厂原装产品。同时，产品按甲方验收标准(符合国家或行业或地方标准)、</w:t>
      </w:r>
      <w:r>
        <w:rPr>
          <w:rFonts w:hint="eastAsia" w:ascii="Times New Roman" w:hAnsi="Times New Roman" w:eastAsia="仿宋" w:cs="仿宋"/>
          <w:color w:val="000000"/>
          <w:sz w:val="24"/>
          <w:szCs w:val="24"/>
          <w:highlight w:val="none"/>
          <w:lang w:val="en-US" w:eastAsia="zh-CN"/>
        </w:rPr>
        <w:t>比选</w:t>
      </w:r>
      <w:r>
        <w:rPr>
          <w:rFonts w:hint="eastAsia" w:ascii="Times New Roman" w:hAnsi="Times New Roman" w:eastAsia="仿宋" w:cs="仿宋"/>
          <w:color w:val="000000"/>
          <w:sz w:val="24"/>
          <w:szCs w:val="24"/>
          <w:highlight w:val="none"/>
        </w:rPr>
        <w:t>文件</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lang w:val="en-US" w:eastAsia="zh-CN"/>
        </w:rPr>
        <w:t>若有</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rPr>
        <w:t>、</w:t>
      </w:r>
      <w:r>
        <w:rPr>
          <w:rFonts w:hint="eastAsia" w:ascii="Times New Roman" w:hAnsi="Times New Roman" w:eastAsia="仿宋" w:cs="仿宋"/>
          <w:color w:val="000000"/>
          <w:sz w:val="24"/>
          <w:szCs w:val="24"/>
          <w:highlight w:val="none"/>
          <w:lang w:val="en-US" w:eastAsia="zh-CN"/>
        </w:rPr>
        <w:t>参选</w:t>
      </w:r>
      <w:r>
        <w:rPr>
          <w:rFonts w:hint="eastAsia" w:ascii="Times New Roman" w:hAnsi="Times New Roman" w:eastAsia="仿宋" w:cs="仿宋"/>
          <w:color w:val="000000"/>
          <w:sz w:val="24"/>
          <w:szCs w:val="24"/>
          <w:highlight w:val="none"/>
        </w:rPr>
        <w:t>文件</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lang w:val="en-US" w:eastAsia="zh-CN"/>
        </w:rPr>
        <w:t>若有</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rPr>
        <w:t>、合同文件等有关内容进行验收，若</w:t>
      </w:r>
      <w:r>
        <w:rPr>
          <w:rFonts w:hint="eastAsia" w:ascii="Times New Roman" w:hAnsi="Times New Roman" w:eastAsia="仿宋" w:cs="仿宋"/>
          <w:color w:val="000000"/>
          <w:sz w:val="24"/>
          <w:szCs w:val="24"/>
          <w:highlight w:val="none"/>
          <w:lang w:val="en-US" w:eastAsia="zh-CN"/>
        </w:rPr>
        <w:t>比选</w:t>
      </w:r>
      <w:r>
        <w:rPr>
          <w:rFonts w:hint="eastAsia" w:ascii="Times New Roman" w:hAnsi="Times New Roman" w:eastAsia="仿宋" w:cs="仿宋"/>
          <w:color w:val="000000"/>
          <w:sz w:val="24"/>
          <w:szCs w:val="24"/>
          <w:highlight w:val="none"/>
        </w:rPr>
        <w:t>文件、</w:t>
      </w:r>
      <w:r>
        <w:rPr>
          <w:rFonts w:hint="eastAsia" w:ascii="Times New Roman" w:hAnsi="Times New Roman" w:eastAsia="仿宋" w:cs="仿宋"/>
          <w:color w:val="000000"/>
          <w:sz w:val="24"/>
          <w:szCs w:val="24"/>
          <w:highlight w:val="none"/>
          <w:lang w:val="en-US" w:eastAsia="zh-CN"/>
        </w:rPr>
        <w:t>参选</w:t>
      </w:r>
      <w:r>
        <w:rPr>
          <w:rFonts w:hint="eastAsia" w:ascii="Times New Roman" w:hAnsi="Times New Roman" w:eastAsia="仿宋" w:cs="仿宋"/>
          <w:color w:val="000000"/>
          <w:sz w:val="24"/>
          <w:szCs w:val="24"/>
          <w:highlight w:val="none"/>
        </w:rPr>
        <w:t>文件、合同文件等文件存在描述不一致的，甲方有权根据本项目实际情况选择适用。如因软件知识产权问题而导致甲方受到第三方侵权等指控，乙方应承担相应责任并赔偿甲方由此造成的损失。</w:t>
      </w:r>
    </w:p>
    <w:p w14:paraId="77444512">
      <w:pPr>
        <w:keepNext w:val="0"/>
        <w:keepLines w:val="0"/>
        <w:pageBreakBefore w:val="0"/>
        <w:kinsoku/>
        <w:wordWrap/>
        <w:overflowPunct/>
        <w:topLinePunct w:val="0"/>
        <w:bidi w:val="0"/>
        <w:adjustRightInd/>
        <w:snapToGrid/>
        <w:spacing w:line="520" w:lineRule="exact"/>
        <w:ind w:left="0" w:firstLine="480" w:firstLineChars="200"/>
        <w:textAlignment w:val="auto"/>
        <w:rPr>
          <w:rFonts w:hint="eastAsia" w:ascii="Times New Roman" w:hAnsi="Times New Roman" w:eastAsia="仿宋" w:cs="仿宋"/>
          <w:color w:val="000000"/>
          <w:sz w:val="24"/>
          <w:szCs w:val="24"/>
          <w:highlight w:val="none"/>
        </w:rPr>
      </w:pPr>
      <w:bookmarkStart w:id="357" w:name="_Toc11827"/>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lang w:val="en-US" w:eastAsia="zh-CN"/>
        </w:rPr>
        <w:t>二</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rPr>
        <w:t>验收程序和方法</w:t>
      </w:r>
      <w:bookmarkEnd w:id="357"/>
    </w:p>
    <w:p w14:paraId="351F501D">
      <w:pPr>
        <w:keepNext w:val="0"/>
        <w:keepLines w:val="0"/>
        <w:pageBreakBefore w:val="0"/>
        <w:kinsoku/>
        <w:wordWrap/>
        <w:overflowPunct/>
        <w:topLinePunct w:val="0"/>
        <w:bidi w:val="0"/>
        <w:adjustRightInd/>
        <w:snapToGrid/>
        <w:spacing w:line="520" w:lineRule="exact"/>
        <w:ind w:left="0" w:firstLine="480" w:firstLineChars="200"/>
        <w:textAlignment w:val="auto"/>
        <w:rPr>
          <w:rFonts w:hint="eastAsia" w:ascii="Times New Roman" w:hAnsi="Times New Roman" w:eastAsia="仿宋" w:cs="仿宋"/>
          <w:color w:val="000000"/>
          <w:sz w:val="24"/>
          <w:szCs w:val="24"/>
          <w:highlight w:val="none"/>
          <w:lang w:eastAsia="zh-CN"/>
        </w:rPr>
      </w:pPr>
      <w:r>
        <w:rPr>
          <w:rFonts w:hint="eastAsia" w:ascii="Times New Roman" w:hAnsi="Times New Roman" w:eastAsia="仿宋" w:cs="仿宋"/>
          <w:color w:val="000000"/>
          <w:sz w:val="24"/>
          <w:szCs w:val="24"/>
          <w:highlight w:val="none"/>
          <w:lang w:val="en-US" w:eastAsia="zh-CN"/>
        </w:rPr>
        <w:t>1.</w:t>
      </w:r>
      <w:r>
        <w:rPr>
          <w:rFonts w:hint="eastAsia" w:ascii="Times New Roman" w:hAnsi="Times New Roman" w:eastAsia="仿宋" w:cs="仿宋"/>
          <w:color w:val="000000"/>
          <w:sz w:val="24"/>
          <w:szCs w:val="24"/>
          <w:highlight w:val="none"/>
        </w:rPr>
        <w:t>在所有</w:t>
      </w:r>
      <w:r>
        <w:rPr>
          <w:rFonts w:hint="eastAsia" w:ascii="Times New Roman" w:hAnsi="Times New Roman" w:eastAsia="仿宋" w:cs="仿宋"/>
          <w:color w:val="000000"/>
          <w:sz w:val="24"/>
          <w:szCs w:val="24"/>
          <w:highlight w:val="none"/>
          <w:lang w:val="en-US" w:eastAsia="zh-CN"/>
        </w:rPr>
        <w:t>设备</w:t>
      </w:r>
      <w:r>
        <w:rPr>
          <w:rFonts w:hint="eastAsia" w:ascii="Times New Roman" w:hAnsi="Times New Roman" w:eastAsia="仿宋" w:cs="仿宋"/>
          <w:color w:val="000000"/>
          <w:sz w:val="24"/>
          <w:szCs w:val="24"/>
          <w:highlight w:val="none"/>
        </w:rPr>
        <w:t>系统安装调试完毕且能够正常使用后，乙方向甲方提出</w:t>
      </w:r>
      <w:r>
        <w:rPr>
          <w:rFonts w:hint="eastAsia" w:ascii="Times New Roman" w:hAnsi="Times New Roman" w:eastAsia="仿宋" w:cs="仿宋"/>
          <w:color w:val="000000"/>
          <w:sz w:val="24"/>
          <w:szCs w:val="24"/>
          <w:highlight w:val="none"/>
          <w:lang w:val="en-US" w:eastAsia="zh-CN"/>
        </w:rPr>
        <w:t>验收</w:t>
      </w:r>
      <w:r>
        <w:rPr>
          <w:rFonts w:hint="eastAsia" w:ascii="Times New Roman" w:hAnsi="Times New Roman" w:eastAsia="仿宋" w:cs="仿宋"/>
          <w:color w:val="000000"/>
          <w:sz w:val="24"/>
          <w:szCs w:val="24"/>
          <w:highlight w:val="none"/>
        </w:rPr>
        <w:t>申请，</w:t>
      </w:r>
      <w:r>
        <w:rPr>
          <w:rFonts w:hint="eastAsia" w:ascii="Times New Roman" w:hAnsi="Times New Roman" w:eastAsia="仿宋" w:cs="仿宋"/>
          <w:color w:val="000000"/>
          <w:sz w:val="24"/>
          <w:szCs w:val="24"/>
          <w:highlight w:val="none"/>
          <w:lang w:val="en-US" w:eastAsia="zh-CN"/>
        </w:rPr>
        <w:t>并</w:t>
      </w:r>
      <w:r>
        <w:rPr>
          <w:rFonts w:hint="eastAsia" w:ascii="Times New Roman" w:hAnsi="Times New Roman" w:eastAsia="仿宋" w:cs="仿宋"/>
          <w:color w:val="000000"/>
          <w:sz w:val="24"/>
          <w:szCs w:val="24"/>
          <w:highlight w:val="none"/>
        </w:rPr>
        <w:t>提供本项目的全部资料</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rPr>
        <w:t>甲方组织人员进行</w:t>
      </w:r>
      <w:r>
        <w:rPr>
          <w:rFonts w:hint="eastAsia" w:ascii="Times New Roman" w:hAnsi="Times New Roman" w:eastAsia="仿宋" w:cs="仿宋"/>
          <w:color w:val="000000"/>
          <w:sz w:val="24"/>
          <w:szCs w:val="24"/>
          <w:highlight w:val="none"/>
          <w:lang w:val="en-US" w:eastAsia="zh-CN"/>
        </w:rPr>
        <w:t>验收，</w:t>
      </w:r>
      <w:r>
        <w:rPr>
          <w:rFonts w:hint="eastAsia" w:ascii="Times New Roman" w:hAnsi="Times New Roman" w:eastAsia="仿宋" w:cs="仿宋"/>
          <w:color w:val="000000"/>
          <w:sz w:val="24"/>
          <w:szCs w:val="24"/>
          <w:highlight w:val="none"/>
        </w:rPr>
        <w:t>甲方、乙方按合同约定进行终验。</w:t>
      </w:r>
    </w:p>
    <w:p w14:paraId="4D8AD378">
      <w:pPr>
        <w:keepNext w:val="0"/>
        <w:keepLines w:val="0"/>
        <w:pageBreakBefore w:val="0"/>
        <w:kinsoku/>
        <w:wordWrap/>
        <w:overflowPunct/>
        <w:topLinePunct w:val="0"/>
        <w:bidi w:val="0"/>
        <w:adjustRightInd/>
        <w:snapToGrid/>
        <w:spacing w:line="520" w:lineRule="exact"/>
        <w:ind w:left="0" w:firstLine="480" w:firstLineChars="200"/>
        <w:textAlignment w:val="auto"/>
        <w:rPr>
          <w:rFonts w:hint="eastAsia"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lang w:val="en-US" w:eastAsia="zh-CN"/>
        </w:rPr>
        <w:t>2.验收</w:t>
      </w:r>
      <w:r>
        <w:rPr>
          <w:rFonts w:hint="eastAsia" w:ascii="Times New Roman" w:hAnsi="Times New Roman" w:eastAsia="仿宋" w:cs="仿宋"/>
          <w:color w:val="000000"/>
          <w:sz w:val="24"/>
          <w:szCs w:val="24"/>
          <w:highlight w:val="none"/>
        </w:rPr>
        <w:t>期间，如发现系统质量问题，系统某一项指标不能满足技术规范要求时，乙方必须在48小时内响应并排除故障。</w:t>
      </w:r>
    </w:p>
    <w:p w14:paraId="201B16F0">
      <w:pPr>
        <w:keepNext w:val="0"/>
        <w:keepLines w:val="0"/>
        <w:pageBreakBefore w:val="0"/>
        <w:kinsoku/>
        <w:wordWrap/>
        <w:overflowPunct/>
        <w:topLinePunct w:val="0"/>
        <w:bidi w:val="0"/>
        <w:adjustRightInd/>
        <w:snapToGrid/>
        <w:spacing w:line="520" w:lineRule="exact"/>
        <w:ind w:left="0" w:firstLine="480" w:firstLineChars="200"/>
        <w:textAlignment w:val="auto"/>
        <w:rPr>
          <w:rFonts w:hint="eastAsia"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lang w:val="en-US" w:eastAsia="zh-CN"/>
        </w:rPr>
        <w:t>3..</w:t>
      </w:r>
      <w:r>
        <w:rPr>
          <w:rFonts w:hint="eastAsia" w:ascii="Times New Roman" w:hAnsi="Times New Roman" w:eastAsia="仿宋" w:cs="仿宋"/>
          <w:color w:val="000000"/>
          <w:sz w:val="24"/>
          <w:szCs w:val="24"/>
          <w:highlight w:val="none"/>
        </w:rPr>
        <w:t>如果系统整体性测试未达到要求，并且没有在甲方规定时间内整改达标的，甲方有权解除合同，并有权视具体情况要求乙方返还全部或部分费用、赔偿损失。</w:t>
      </w:r>
    </w:p>
    <w:p w14:paraId="23663402">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rFonts w:hint="eastAsia" w:ascii="Times New Roman" w:hAnsi="Times New Roman" w:eastAsia="仿宋" w:cs="仿宋"/>
          <w:b/>
          <w:bCs/>
          <w:color w:val="000000"/>
          <w:sz w:val="24"/>
          <w:szCs w:val="24"/>
          <w:highlight w:val="none"/>
          <w:lang w:eastAsia="zh-CN"/>
        </w:rPr>
      </w:pPr>
      <w:bookmarkStart w:id="358" w:name="_Toc1298"/>
      <w:r>
        <w:rPr>
          <w:rFonts w:hint="eastAsia" w:ascii="Times New Roman" w:hAnsi="Times New Roman" w:eastAsia="仿宋" w:cs="仿宋"/>
          <w:b/>
          <w:bCs/>
          <w:color w:val="000000"/>
          <w:sz w:val="24"/>
          <w:szCs w:val="24"/>
          <w:highlight w:val="none"/>
          <w:lang w:eastAsia="zh-CN"/>
        </w:rPr>
        <w:t>服务期限</w:t>
      </w:r>
      <w:bookmarkEnd w:id="358"/>
    </w:p>
    <w:p w14:paraId="6DAA7777">
      <w:pPr>
        <w:keepNext w:val="0"/>
        <w:keepLines w:val="0"/>
        <w:pageBreakBefore w:val="0"/>
        <w:kinsoku/>
        <w:wordWrap/>
        <w:overflowPunct/>
        <w:topLinePunct w:val="0"/>
        <w:bidi w:val="0"/>
        <w:adjustRightInd/>
        <w:snapToGrid/>
        <w:spacing w:line="520" w:lineRule="exact"/>
        <w:ind w:left="0" w:firstLine="480" w:firstLineChars="200"/>
        <w:jc w:val="both"/>
        <w:textAlignment w:val="auto"/>
        <w:rPr>
          <w:rFonts w:hint="default"/>
          <w:sz w:val="24"/>
          <w:szCs w:val="24"/>
          <w:lang w:val="en-US" w:eastAsia="zh-CN"/>
        </w:rPr>
      </w:pPr>
      <w:r>
        <w:rPr>
          <w:rFonts w:hint="eastAsia" w:ascii="Times New Roman" w:hAnsi="Times New Roman" w:eastAsia="仿宋" w:cs="仿宋"/>
          <w:color w:val="000000"/>
          <w:sz w:val="24"/>
          <w:szCs w:val="24"/>
          <w:highlight w:val="none"/>
          <w:lang w:eastAsia="zh-CN"/>
        </w:rPr>
        <w:t>乙方提供本项目服务的期限为本合同签订之日起至运行维护服务结束之日（项目质保期为</w:t>
      </w:r>
      <w:r>
        <w:rPr>
          <w:rFonts w:hint="eastAsia" w:ascii="仿宋" w:hAnsi="仿宋" w:eastAsia="仿宋" w:cs="仿宋"/>
          <w:color w:val="000000"/>
          <w:sz w:val="24"/>
          <w:szCs w:val="24"/>
          <w:highlight w:val="none"/>
          <w:lang w:val="en-US" w:eastAsia="zh-CN"/>
        </w:rPr>
        <w:t>2</w:t>
      </w:r>
      <w:r>
        <w:rPr>
          <w:rFonts w:hint="eastAsia" w:ascii="Times New Roman" w:hAnsi="Times New Roman" w:eastAsia="仿宋" w:cs="仿宋"/>
          <w:color w:val="000000"/>
          <w:sz w:val="24"/>
          <w:szCs w:val="24"/>
          <w:highlight w:val="none"/>
          <w:lang w:eastAsia="zh-CN"/>
        </w:rPr>
        <w:t>年，自项目通过终验且双方确认开始提供运行维护服务之日起算）止。</w:t>
      </w:r>
    </w:p>
    <w:p w14:paraId="673D88EA">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rFonts w:ascii="Times New Roman" w:hAnsi="Times New Roman" w:eastAsia="仿宋" w:cs="仿宋"/>
          <w:b/>
          <w:bCs/>
          <w:color w:val="000000"/>
          <w:sz w:val="24"/>
          <w:szCs w:val="24"/>
          <w:highlight w:val="none"/>
        </w:rPr>
      </w:pPr>
      <w:r>
        <w:rPr>
          <w:rFonts w:hint="eastAsia" w:ascii="Times New Roman" w:hAnsi="Times New Roman" w:eastAsia="仿宋" w:cs="仿宋"/>
          <w:b/>
          <w:bCs/>
          <w:color w:val="000000"/>
          <w:sz w:val="24"/>
          <w:szCs w:val="24"/>
          <w:highlight w:val="none"/>
        </w:rPr>
        <w:t>实施范围及双方责任</w:t>
      </w:r>
    </w:p>
    <w:p w14:paraId="237A4913">
      <w:pPr>
        <w:keepNext w:val="0"/>
        <w:keepLines w:val="0"/>
        <w:pageBreakBefore w:val="0"/>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（一）甲方的责任与义务</w:t>
      </w:r>
    </w:p>
    <w:p w14:paraId="192BB3DB">
      <w:pPr>
        <w:keepNext w:val="0"/>
        <w:keepLines w:val="0"/>
        <w:pageBreakBefore w:val="0"/>
        <w:numPr>
          <w:ilvl w:val="0"/>
          <w:numId w:val="0"/>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lang w:val="en-US" w:eastAsia="zh-CN"/>
        </w:rPr>
        <w:t>按照工作计划进度，及时接受乙方的验收申请，组织并完成验收工作。</w:t>
      </w:r>
    </w:p>
    <w:p w14:paraId="270C8C98">
      <w:pPr>
        <w:keepNext w:val="0"/>
        <w:keepLines w:val="0"/>
        <w:pageBreakBefore w:val="0"/>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（二）乙方的责任和义务</w:t>
      </w:r>
    </w:p>
    <w:p w14:paraId="65E8C6DF">
      <w:pPr>
        <w:keepNext w:val="0"/>
        <w:keepLines w:val="0"/>
        <w:pageBreakBefore w:val="0"/>
        <w:numPr>
          <w:ilvl w:val="0"/>
          <w:numId w:val="18"/>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合同签订后，乙方负责</w:t>
      </w:r>
      <w:r>
        <w:rPr>
          <w:rFonts w:hint="eastAsia" w:ascii="Times New Roman" w:hAnsi="Times New Roman" w:eastAsia="仿宋" w:cs="仿宋"/>
          <w:color w:val="000000"/>
          <w:sz w:val="24"/>
          <w:szCs w:val="24"/>
          <w:highlight w:val="none"/>
          <w:lang w:val="en-US" w:eastAsia="zh-CN"/>
        </w:rPr>
        <w:t>设备</w:t>
      </w:r>
      <w:r>
        <w:rPr>
          <w:rFonts w:hint="eastAsia" w:ascii="Times New Roman" w:hAnsi="Times New Roman" w:eastAsia="仿宋" w:cs="仿宋"/>
          <w:color w:val="000000"/>
          <w:sz w:val="24"/>
          <w:szCs w:val="24"/>
          <w:highlight w:val="none"/>
        </w:rPr>
        <w:t>供货、安装、调试。</w:t>
      </w:r>
    </w:p>
    <w:p w14:paraId="0A71D852">
      <w:pPr>
        <w:keepNext w:val="0"/>
        <w:keepLines w:val="0"/>
        <w:pageBreakBefore w:val="0"/>
        <w:numPr>
          <w:ilvl w:val="0"/>
          <w:numId w:val="18"/>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乙方负责配合甲方进行应用系统联调并处理联调过程中与乙方所供产品相关的问题。</w:t>
      </w:r>
    </w:p>
    <w:p w14:paraId="5785FD1F">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rFonts w:ascii="Times New Roman" w:hAnsi="Times New Roman" w:eastAsia="仿宋" w:cs="仿宋"/>
          <w:b/>
          <w:bCs/>
          <w:color w:val="000000"/>
          <w:sz w:val="24"/>
          <w:szCs w:val="24"/>
          <w:highlight w:val="none"/>
        </w:rPr>
      </w:pPr>
      <w:r>
        <w:rPr>
          <w:rFonts w:hint="eastAsia" w:ascii="Times New Roman" w:hAnsi="Times New Roman" w:eastAsia="仿宋" w:cs="仿宋"/>
          <w:b/>
          <w:bCs/>
          <w:color w:val="000000"/>
          <w:sz w:val="24"/>
          <w:szCs w:val="24"/>
          <w:highlight w:val="none"/>
        </w:rPr>
        <w:t>知识产权</w:t>
      </w:r>
    </w:p>
    <w:p w14:paraId="2C6DDD19">
      <w:pPr>
        <w:keepNext w:val="0"/>
        <w:keepLines w:val="0"/>
        <w:pageBreakBefore w:val="0"/>
        <w:widowControl w:val="0"/>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乙方提供的采购标的应符合国家知识产权法律、法规的规定且非假冒伪劣产品；乙方还应保证甲方不受到第三方关于侵犯知识产权方面的指控，任何第三方如果提出此方面指控均与甲方无关，乙方应与第三方交涉，并承担可能发生的一切法律责任、费用和后果；若甲方因此而遭致损失，则乙方应赔偿该损失。若乙方提供的采购标的不符合国家知识产权法律、法规的规定或被有关主管机关认定为假冒伪劣品，则乙方中选或成交资格将被取消；甲方还将按照有关法律、法规和规章的规定进行处理。</w:t>
      </w:r>
    </w:p>
    <w:p w14:paraId="191194DA">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rFonts w:ascii="Times New Roman" w:hAnsi="Times New Roman" w:eastAsia="仿宋" w:cs="仿宋"/>
          <w:b/>
          <w:bCs/>
          <w:color w:val="000000"/>
          <w:sz w:val="24"/>
          <w:szCs w:val="24"/>
          <w:highlight w:val="none"/>
        </w:rPr>
      </w:pPr>
      <w:r>
        <w:rPr>
          <w:rFonts w:hint="eastAsia" w:ascii="Times New Roman" w:hAnsi="Times New Roman" w:eastAsia="仿宋" w:cs="仿宋"/>
          <w:b/>
          <w:bCs/>
          <w:color w:val="000000"/>
          <w:sz w:val="24"/>
          <w:szCs w:val="24"/>
          <w:highlight w:val="none"/>
        </w:rPr>
        <w:t>合同变更与终止</w:t>
      </w:r>
    </w:p>
    <w:p w14:paraId="1F06407A">
      <w:pPr>
        <w:keepNext w:val="0"/>
        <w:keepLines w:val="0"/>
        <w:pageBreakBefore w:val="0"/>
        <w:numPr>
          <w:ilvl w:val="0"/>
          <w:numId w:val="19"/>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本合同一经签订即生效，双方均不得擅自变更和解除。双方同意变更合同时，应另行签订书面补充协议。</w:t>
      </w:r>
    </w:p>
    <w:p w14:paraId="33E799EA">
      <w:pPr>
        <w:keepNext w:val="0"/>
        <w:keepLines w:val="0"/>
        <w:pageBreakBefore w:val="0"/>
        <w:numPr>
          <w:ilvl w:val="0"/>
          <w:numId w:val="19"/>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在合同履行过程中，因国家政策调整而引起本合同无法正常执行时，应免除违约方的责任，但违约方应及时通知对方，并向对方提出终止履行合同或修改合同有关条款的建议；对方不同意继续履行合同的，本合同终止，双方互不承担责任。</w:t>
      </w:r>
    </w:p>
    <w:p w14:paraId="4CCC6B8C">
      <w:pPr>
        <w:keepNext w:val="0"/>
        <w:keepLines w:val="0"/>
        <w:pageBreakBefore w:val="0"/>
        <w:numPr>
          <w:ilvl w:val="0"/>
          <w:numId w:val="19"/>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守约方有权在合同具备解除条件后10日内以书面形式通知对方解除合同。因一方违约导致守约方根据本合同约定解除合同，违约方还应根据本合同相关约定对守约方承担违约赔偿责任。</w:t>
      </w:r>
    </w:p>
    <w:p w14:paraId="3B00FFDF">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rFonts w:ascii="Times New Roman" w:hAnsi="Times New Roman" w:eastAsia="仿宋" w:cs="仿宋"/>
          <w:b/>
          <w:bCs/>
          <w:color w:val="000000"/>
          <w:sz w:val="24"/>
          <w:szCs w:val="24"/>
          <w:highlight w:val="none"/>
        </w:rPr>
      </w:pPr>
      <w:r>
        <w:rPr>
          <w:rFonts w:hint="eastAsia" w:ascii="Times New Roman" w:hAnsi="Times New Roman" w:eastAsia="仿宋" w:cs="仿宋"/>
          <w:b/>
          <w:bCs/>
          <w:color w:val="000000"/>
          <w:sz w:val="24"/>
          <w:szCs w:val="24"/>
          <w:highlight w:val="none"/>
        </w:rPr>
        <w:t>违约责任</w:t>
      </w:r>
    </w:p>
    <w:p w14:paraId="6CCDF719">
      <w:pPr>
        <w:keepNext w:val="0"/>
        <w:keepLines w:val="0"/>
        <w:pageBreakBefore w:val="0"/>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（一）甲方违约责任</w:t>
      </w:r>
    </w:p>
    <w:p w14:paraId="66287D92">
      <w:pPr>
        <w:keepNext w:val="0"/>
        <w:keepLines w:val="0"/>
        <w:pageBreakBefore w:val="0"/>
        <w:numPr>
          <w:ilvl w:val="0"/>
          <w:numId w:val="0"/>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甲方未按合同约定付款的，</w:t>
      </w:r>
      <w:r>
        <w:rPr>
          <w:rFonts w:hint="eastAsia" w:ascii="Times New Roman" w:hAnsi="Times New Roman" w:eastAsia="仿宋" w:cs="仿宋"/>
          <w:caps w:val="0"/>
          <w:color w:val="000000"/>
          <w:highlight w:val="none"/>
        </w:rPr>
        <w:t>每逾期一日，以应付未付款项为基数</w:t>
      </w:r>
      <w:bookmarkStart w:id="474" w:name="_GoBack"/>
      <w:bookmarkEnd w:id="474"/>
      <w:r>
        <w:rPr>
          <w:rFonts w:hint="eastAsia" w:ascii="Times New Roman" w:hAnsi="Times New Roman" w:eastAsia="仿宋" w:cs="仿宋"/>
          <w:caps w:val="0"/>
          <w:color w:val="000000"/>
          <w:highlight w:val="none"/>
        </w:rPr>
        <w:t>按同期全国银行间同业拆借中心公布的一年期贷款市场报价利率（LPR）标准向乙方支付违约金</w:t>
      </w:r>
      <w:r>
        <w:rPr>
          <w:rFonts w:hint="eastAsia" w:ascii="Times New Roman" w:hAnsi="Times New Roman" w:eastAsia="仿宋" w:cs="仿宋"/>
          <w:color w:val="000000"/>
          <w:sz w:val="24"/>
          <w:szCs w:val="24"/>
          <w:highlight w:val="none"/>
        </w:rPr>
        <w:t>。</w:t>
      </w:r>
    </w:p>
    <w:p w14:paraId="4F66E48B">
      <w:pPr>
        <w:keepNext w:val="0"/>
        <w:keepLines w:val="0"/>
        <w:pageBreakBefore w:val="0"/>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（二）乙方违约责任</w:t>
      </w:r>
    </w:p>
    <w:p w14:paraId="428F3609">
      <w:pPr>
        <w:keepNext w:val="0"/>
        <w:keepLines w:val="0"/>
        <w:pageBreakBefore w:val="0"/>
        <w:numPr>
          <w:ilvl w:val="0"/>
          <w:numId w:val="20"/>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在合同履行过程中，乙方存在下列情形之一的，构成违约；</w:t>
      </w:r>
    </w:p>
    <w:p w14:paraId="1EAA464F">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ascii="Times New Roman" w:hAnsi="Times New Roman" w:eastAsia="仿宋" w:cs="仿宋"/>
          <w:color w:val="000000"/>
          <w:sz w:val="24"/>
          <w:szCs w:val="24"/>
          <w:highlight w:val="none"/>
        </w:rPr>
      </w:pPr>
      <w:r>
        <w:rPr>
          <w:rFonts w:hint="default" w:ascii="仿宋" w:hAnsi="仿宋" w:eastAsia="仿宋" w:cs="仿宋"/>
          <w:color w:val="000000"/>
          <w:sz w:val="24"/>
          <w:szCs w:val="24"/>
          <w:lang w:val="en-US" w:eastAsia="zh-CN" w:bidi="ar-SA"/>
        </w:rPr>
        <w:t>(1)</w:t>
      </w:r>
      <w:r>
        <w:rPr>
          <w:rFonts w:hint="eastAsia" w:ascii="Times New Roman" w:hAnsi="Times New Roman" w:eastAsia="仿宋" w:cs="仿宋"/>
          <w:color w:val="000000"/>
          <w:sz w:val="24"/>
          <w:szCs w:val="24"/>
          <w:highlight w:val="none"/>
        </w:rPr>
        <w:t>因乙方原因导致提供的服务不符合合同要求或存在瑕疵的；</w:t>
      </w:r>
    </w:p>
    <w:p w14:paraId="5A58F47A">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ascii="Times New Roman" w:hAnsi="Times New Roman" w:eastAsia="仿宋" w:cs="仿宋"/>
          <w:color w:val="000000"/>
          <w:sz w:val="24"/>
          <w:szCs w:val="24"/>
          <w:highlight w:val="none"/>
        </w:rPr>
      </w:pPr>
      <w:r>
        <w:rPr>
          <w:rFonts w:hint="default" w:ascii="仿宋" w:hAnsi="仿宋" w:eastAsia="仿宋" w:cs="仿宋"/>
          <w:color w:val="000000"/>
          <w:sz w:val="24"/>
          <w:szCs w:val="24"/>
          <w:lang w:val="en-US" w:eastAsia="zh-CN" w:bidi="ar-SA"/>
        </w:rPr>
        <w:t>(2)</w:t>
      </w:r>
      <w:r>
        <w:rPr>
          <w:rFonts w:hint="eastAsia" w:ascii="Times New Roman" w:hAnsi="Times New Roman" w:eastAsia="仿宋" w:cs="仿宋"/>
          <w:color w:val="000000"/>
          <w:sz w:val="24"/>
          <w:szCs w:val="24"/>
          <w:highlight w:val="none"/>
        </w:rPr>
        <w:t>乙方向甲方人员行贿或给予其他不合法利益等行为；</w:t>
      </w:r>
    </w:p>
    <w:p w14:paraId="5375EAE0">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ascii="Times New Roman" w:hAnsi="Times New Roman" w:eastAsia="仿宋" w:cs="仿宋"/>
          <w:color w:val="000000"/>
          <w:sz w:val="24"/>
          <w:szCs w:val="24"/>
          <w:highlight w:val="none"/>
        </w:rPr>
      </w:pPr>
      <w:r>
        <w:rPr>
          <w:rFonts w:hint="default" w:ascii="仿宋" w:hAnsi="仿宋" w:eastAsia="仿宋" w:cs="仿宋"/>
          <w:color w:val="000000"/>
          <w:sz w:val="24"/>
          <w:szCs w:val="24"/>
          <w:lang w:val="en-US" w:eastAsia="zh-CN" w:bidi="ar-SA"/>
        </w:rPr>
        <w:t>(3)</w:t>
      </w:r>
      <w:r>
        <w:rPr>
          <w:rFonts w:hint="eastAsia" w:ascii="Times New Roman" w:hAnsi="Times New Roman" w:eastAsia="仿宋" w:cs="仿宋"/>
          <w:color w:val="000000"/>
          <w:sz w:val="24"/>
          <w:szCs w:val="24"/>
          <w:highlight w:val="none"/>
        </w:rPr>
        <w:t>乙方明确表示或以其行为表明不履行合同主要义务的；</w:t>
      </w:r>
    </w:p>
    <w:p w14:paraId="01DD8FD5">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ascii="Times New Roman" w:hAnsi="Times New Roman" w:eastAsia="仿宋" w:cs="仿宋"/>
          <w:color w:val="000000"/>
          <w:sz w:val="24"/>
          <w:szCs w:val="24"/>
          <w:highlight w:val="none"/>
        </w:rPr>
      </w:pPr>
      <w:r>
        <w:rPr>
          <w:rFonts w:hint="default" w:ascii="仿宋" w:hAnsi="仿宋" w:eastAsia="仿宋" w:cs="仿宋"/>
          <w:color w:val="000000"/>
          <w:sz w:val="24"/>
          <w:szCs w:val="24"/>
          <w:lang w:val="en-US" w:eastAsia="zh-CN" w:bidi="ar-SA"/>
        </w:rPr>
        <w:t>(4)</w:t>
      </w:r>
      <w:r>
        <w:rPr>
          <w:rFonts w:hint="eastAsia" w:ascii="Times New Roman" w:hAnsi="Times New Roman" w:eastAsia="仿宋" w:cs="仿宋"/>
          <w:color w:val="000000"/>
          <w:sz w:val="24"/>
          <w:szCs w:val="24"/>
          <w:highlight w:val="none"/>
        </w:rPr>
        <w:t>乙方未能按照本合同约定履行其他义务的。</w:t>
      </w:r>
    </w:p>
    <w:p w14:paraId="0752F723">
      <w:pPr>
        <w:keepNext w:val="0"/>
        <w:keepLines w:val="0"/>
        <w:pageBreakBefore w:val="0"/>
        <w:numPr>
          <w:ilvl w:val="0"/>
          <w:numId w:val="20"/>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除本合同其他条款另有约定外，乙方存在本第1款约定的违约情形，应按合同总价的10%向甲方支付违约金，并赔偿甲方由此造成的其他损失；如因乙方违约造成本合同无法继续履行或乙方在收到甲方整改通知之日起在15日内仍未纠正其违约行为的，甲方还有权随时解除合同，要求乙方退还已收取的费用，并赔偿甲方由此造成的其他损失。</w:t>
      </w:r>
    </w:p>
    <w:p w14:paraId="09C8E84B">
      <w:pPr>
        <w:keepNext w:val="0"/>
        <w:keepLines w:val="0"/>
        <w:pageBreakBefore w:val="0"/>
        <w:numPr>
          <w:ilvl w:val="0"/>
          <w:numId w:val="20"/>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乙方未能按本合同规定期限完成相应工作的，应提交书面解释给甲方，经甲方认可的，交付时间可适当延长，但顺延时间不超过5个工作日。甲方不同意顺延或顺延期满仍未交付的，每逾期一日，乙方应向甲方支付合同总价0.5%的违约金；逾期超过15日的，甲方还有权解除本合同，要求乙方退还已收取的费用，并赔偿甲方由此造成的其他损失。</w:t>
      </w:r>
    </w:p>
    <w:p w14:paraId="74053AE7">
      <w:pPr>
        <w:keepNext w:val="0"/>
        <w:keepLines w:val="0"/>
        <w:pageBreakBefore w:val="0"/>
        <w:numPr>
          <w:ilvl w:val="0"/>
          <w:numId w:val="20"/>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乙方应当向甲方支付的违约金、赔偿金，甲方可以直接从应付的合同价款中作相应扣除。</w:t>
      </w:r>
    </w:p>
    <w:p w14:paraId="5978CBF8">
      <w:pPr>
        <w:keepNext w:val="0"/>
        <w:keepLines w:val="0"/>
        <w:pageBreakBefore w:val="0"/>
        <w:numPr>
          <w:ilvl w:val="0"/>
          <w:numId w:val="20"/>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本合同违约及赔偿金额累计不超过合同总价，守约方有证据证明违约方的违约行为给守约方造成的损失超过合同总价的除外。</w:t>
      </w:r>
    </w:p>
    <w:p w14:paraId="25CEC0B1">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rFonts w:ascii="Times New Roman" w:hAnsi="Times New Roman" w:eastAsia="仿宋" w:cs="仿宋"/>
          <w:b/>
          <w:bCs/>
          <w:color w:val="000000"/>
          <w:sz w:val="24"/>
          <w:szCs w:val="24"/>
          <w:highlight w:val="none"/>
        </w:rPr>
      </w:pPr>
      <w:r>
        <w:rPr>
          <w:rFonts w:hint="eastAsia" w:ascii="Times New Roman" w:hAnsi="Times New Roman" w:eastAsia="仿宋" w:cs="仿宋"/>
          <w:b/>
          <w:bCs/>
          <w:color w:val="000000"/>
          <w:sz w:val="24"/>
          <w:szCs w:val="24"/>
          <w:highlight w:val="none"/>
        </w:rPr>
        <w:t>争议解决和法律适用</w:t>
      </w:r>
    </w:p>
    <w:p w14:paraId="52C32A8B">
      <w:pPr>
        <w:keepNext w:val="0"/>
        <w:keepLines w:val="0"/>
        <w:pageBreakBefore w:val="0"/>
        <w:numPr>
          <w:ilvl w:val="0"/>
          <w:numId w:val="21"/>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因执行本合同所发生的和与本合同有关的一切争议，双方应协商、调解解决。协商、调解不成的，任何一方均可向甲方所在地有管辖权的人民法院提起诉讼。</w:t>
      </w:r>
    </w:p>
    <w:p w14:paraId="72763D5D">
      <w:pPr>
        <w:keepNext w:val="0"/>
        <w:keepLines w:val="0"/>
        <w:pageBreakBefore w:val="0"/>
        <w:numPr>
          <w:ilvl w:val="0"/>
          <w:numId w:val="21"/>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由上述过程发生的费用（包括但不限于诉讼费、律师费、公证费、检验检测费和差旅费等其他一切必要费用）除裁判文书另有裁判外，应由败诉方承担。</w:t>
      </w:r>
    </w:p>
    <w:p w14:paraId="2DFD9132">
      <w:pPr>
        <w:keepNext w:val="0"/>
        <w:keepLines w:val="0"/>
        <w:pageBreakBefore w:val="0"/>
        <w:numPr>
          <w:ilvl w:val="0"/>
          <w:numId w:val="21"/>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在诉讼期间，除提交人民法院裁判的事项外，合同中无争议的部分仍应继续履行。</w:t>
      </w:r>
    </w:p>
    <w:p w14:paraId="0FEBE806">
      <w:pPr>
        <w:keepNext w:val="0"/>
        <w:keepLines w:val="0"/>
        <w:pageBreakBefore w:val="0"/>
        <w:numPr>
          <w:ilvl w:val="0"/>
          <w:numId w:val="21"/>
        </w:numPr>
        <w:kinsoku/>
        <w:wordWrap/>
        <w:overflowPunct/>
        <w:topLinePunct w:val="0"/>
        <w:bidi w:val="0"/>
        <w:adjustRightInd/>
        <w:snapToGrid/>
        <w:spacing w:line="520" w:lineRule="exact"/>
        <w:ind w:left="0" w:firstLine="480" w:firstLineChars="200"/>
        <w:textAlignment w:val="auto"/>
        <w:rPr>
          <w:rFonts w:ascii="Times New Roman" w:hAnsi="Times New Roman" w:eastAsia="仿宋" w:cs="仿宋"/>
          <w:color w:val="000000"/>
          <w:sz w:val="24"/>
          <w:szCs w:val="24"/>
          <w:highlight w:val="none"/>
        </w:rPr>
      </w:pPr>
      <w:r>
        <w:rPr>
          <w:rFonts w:hint="eastAsia" w:ascii="Times New Roman" w:hAnsi="Times New Roman" w:eastAsia="仿宋" w:cs="仿宋"/>
          <w:color w:val="000000"/>
          <w:sz w:val="24"/>
          <w:szCs w:val="24"/>
          <w:highlight w:val="none"/>
        </w:rPr>
        <w:t>本合同适用法律为中华人民共和国法律。</w:t>
      </w:r>
    </w:p>
    <w:p w14:paraId="604B8779">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b/>
          <w:bCs/>
          <w:sz w:val="24"/>
          <w:szCs w:val="24"/>
        </w:rPr>
      </w:pPr>
      <w:r>
        <w:rPr>
          <w:rFonts w:hint="eastAsia" w:ascii="仿宋" w:hAnsi="仿宋" w:eastAsia="仿宋" w:cs="仿宋"/>
          <w:b/>
          <w:bCs/>
          <w:sz w:val="24"/>
          <w:szCs w:val="24"/>
          <w:lang w:val="en-US" w:eastAsia="zh-CN" w:bidi="ar-SA"/>
        </w:rPr>
        <w:t>反商业贿赂条款</w:t>
      </w:r>
    </w:p>
    <w:p w14:paraId="6CBAE752">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反商业贿赂条款是本合同之必备附件，与本合同具有同等法律效力，请与乙方签署合同之当事人认真阅读本条款，同意与乙方签订并遵守如下反商业贿赂条款：</w:t>
      </w:r>
    </w:p>
    <w:p w14:paraId="01CD1703">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双方都清楚并愿意严格遵守中华人民共和国反商业贿赂的法律规定，双方都清楚任何形式的贿赂和贪渎行为都将触犯法律，并将受到法律的严惩。</w:t>
      </w:r>
    </w:p>
    <w:p w14:paraId="70A4D500">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甲乙双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如因一方或一方经办人违反上述规定，给对方造成损失的，应承担损害赔偿责任。</w:t>
      </w:r>
    </w:p>
    <w:p w14:paraId="3BD79405">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sz w:val="24"/>
          <w:szCs w:val="24"/>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本条所称“其他相关人员”是指双方经办人以外的与合同有直接或间接利益关系的人员，包括但不仅限于合同经办人的亲友</w:t>
      </w:r>
      <w:r>
        <w:rPr>
          <w:rFonts w:hint="eastAsia" w:ascii="Times New Roman" w:hAnsi="Times New Roman" w:eastAsia="仿宋" w:cs="仿宋"/>
          <w:color w:val="000000"/>
          <w:sz w:val="24"/>
          <w:szCs w:val="24"/>
          <w:highlight w:val="none"/>
        </w:rPr>
        <w:t>。</w:t>
      </w:r>
    </w:p>
    <w:p w14:paraId="44539211">
      <w:pPr>
        <w:keepNext w:val="0"/>
        <w:keepLines w:val="0"/>
        <w:pageBreakBefore w:val="0"/>
        <w:numPr>
          <w:ilvl w:val="0"/>
          <w:numId w:val="17"/>
        </w:numPr>
        <w:kinsoku/>
        <w:wordWrap/>
        <w:overflowPunct/>
        <w:topLinePunct w:val="0"/>
        <w:bidi w:val="0"/>
        <w:adjustRightInd/>
        <w:snapToGrid/>
        <w:spacing w:line="520" w:lineRule="exact"/>
        <w:ind w:left="-2" w:leftChars="0" w:firstLine="482" w:firstLineChars="0"/>
        <w:textAlignment w:val="auto"/>
        <w:rPr>
          <w:b/>
          <w:bCs/>
          <w:sz w:val="24"/>
          <w:szCs w:val="24"/>
        </w:rPr>
      </w:pPr>
      <w:r>
        <w:rPr>
          <w:rFonts w:hint="eastAsia" w:ascii="Times New Roman" w:hAnsi="Times New Roman" w:eastAsia="仿宋" w:cs="仿宋"/>
          <w:b/>
          <w:bCs/>
          <w:color w:val="000000"/>
          <w:sz w:val="24"/>
          <w:szCs w:val="24"/>
          <w:highlight w:val="none"/>
        </w:rPr>
        <w:t>合同生效及其它</w:t>
      </w:r>
    </w:p>
    <w:p w14:paraId="69D4C441">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ascii="Times New Roman" w:hAnsi="Times New Roman" w:eastAsia="仿宋" w:cs="仿宋"/>
          <w:color w:val="000000"/>
          <w:sz w:val="24"/>
          <w:szCs w:val="24"/>
          <w:highlight w:val="none"/>
        </w:rPr>
      </w:pPr>
      <w:r>
        <w:rPr>
          <w:rFonts w:hint="eastAsia" w:ascii="仿宋" w:hAnsi="仿宋" w:eastAsia="仿宋" w:cs="仿宋"/>
          <w:color w:val="000000"/>
          <w:sz w:val="24"/>
          <w:szCs w:val="24"/>
          <w:lang w:val="en-US" w:eastAsia="zh-CN" w:bidi="ar-SA"/>
        </w:rPr>
        <w:t>1</w:t>
      </w:r>
      <w:r>
        <w:rPr>
          <w:rFonts w:hint="default" w:ascii="仿宋" w:hAnsi="仿宋" w:eastAsia="仿宋" w:cs="仿宋"/>
          <w:color w:val="000000"/>
          <w:sz w:val="24"/>
          <w:szCs w:val="24"/>
          <w:lang w:val="en-US" w:eastAsia="zh-CN" w:bidi="ar-SA"/>
        </w:rPr>
        <w:t>．</w:t>
      </w:r>
      <w:r>
        <w:rPr>
          <w:rFonts w:hint="eastAsia" w:ascii="Times New Roman" w:hAnsi="Times New Roman" w:eastAsia="仿宋" w:cs="仿宋"/>
          <w:color w:val="000000"/>
          <w:sz w:val="24"/>
          <w:szCs w:val="24"/>
          <w:highlight w:val="none"/>
        </w:rPr>
        <w:t>本合同争议解决条款与通知送达条款均为独立条款，不受本合同整体或其他条款效力的影响。</w:t>
      </w:r>
    </w:p>
    <w:p w14:paraId="46CC5868">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ascii="Times New Roman" w:hAnsi="Times New Roman" w:eastAsia="仿宋" w:cs="仿宋"/>
          <w:color w:val="000000"/>
          <w:sz w:val="24"/>
          <w:szCs w:val="24"/>
          <w:highlight w:val="none"/>
        </w:rPr>
      </w:pPr>
      <w:r>
        <w:rPr>
          <w:rFonts w:hint="eastAsia" w:ascii="仿宋" w:hAnsi="仿宋" w:eastAsia="仿宋" w:cs="仿宋"/>
          <w:color w:val="000000"/>
          <w:sz w:val="24"/>
          <w:szCs w:val="24"/>
          <w:lang w:val="en-US" w:eastAsia="zh-CN" w:bidi="ar-SA"/>
        </w:rPr>
        <w:t>2</w:t>
      </w:r>
      <w:r>
        <w:rPr>
          <w:rFonts w:hint="default" w:ascii="仿宋" w:hAnsi="仿宋" w:eastAsia="仿宋" w:cs="仿宋"/>
          <w:color w:val="000000"/>
          <w:sz w:val="24"/>
          <w:szCs w:val="24"/>
          <w:lang w:val="en-US" w:eastAsia="zh-CN" w:bidi="ar-SA"/>
        </w:rPr>
        <w:t>．</w:t>
      </w:r>
      <w:r>
        <w:rPr>
          <w:rFonts w:hint="eastAsia" w:ascii="Times New Roman" w:hAnsi="Times New Roman" w:eastAsia="仿宋" w:cs="仿宋"/>
          <w:color w:val="000000"/>
          <w:sz w:val="24"/>
          <w:szCs w:val="24"/>
          <w:highlight w:val="none"/>
        </w:rPr>
        <w:t>任何一方未经另一方书面同意，不得将本合同的部分或全部权利或义务转让给第三方。</w:t>
      </w:r>
    </w:p>
    <w:p w14:paraId="11185557">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ascii="Times New Roman" w:hAnsi="Times New Roman" w:eastAsia="仿宋" w:cs="仿宋"/>
          <w:color w:val="000000"/>
          <w:sz w:val="24"/>
          <w:szCs w:val="24"/>
          <w:highlight w:val="none"/>
        </w:rPr>
      </w:pPr>
      <w:r>
        <w:rPr>
          <w:rFonts w:hint="eastAsia" w:ascii="仿宋" w:hAnsi="仿宋" w:eastAsia="仿宋" w:cs="仿宋"/>
          <w:color w:val="000000"/>
          <w:sz w:val="24"/>
          <w:szCs w:val="24"/>
          <w:lang w:val="en-US" w:eastAsia="zh-CN" w:bidi="ar-SA"/>
        </w:rPr>
        <w:t>3</w:t>
      </w:r>
      <w:r>
        <w:rPr>
          <w:rFonts w:hint="default" w:ascii="仿宋" w:hAnsi="仿宋" w:eastAsia="仿宋" w:cs="仿宋"/>
          <w:color w:val="000000"/>
          <w:sz w:val="24"/>
          <w:szCs w:val="24"/>
          <w:lang w:val="en-US" w:eastAsia="zh-CN" w:bidi="ar-SA"/>
        </w:rPr>
        <w:t>．</w:t>
      </w:r>
      <w:r>
        <w:rPr>
          <w:rFonts w:hint="eastAsia" w:ascii="Times New Roman" w:hAnsi="Times New Roman" w:eastAsia="仿宋" w:cs="仿宋"/>
          <w:color w:val="000000"/>
          <w:sz w:val="24"/>
          <w:szCs w:val="24"/>
          <w:highlight w:val="none"/>
        </w:rPr>
        <w:t>双方约定，本合同涉及的相关内容不明确或表达不够明晰的部分将按照双方协商确认的项目方案及相关文件所指定内容执行。</w:t>
      </w:r>
    </w:p>
    <w:p w14:paraId="6F932FDB">
      <w:pPr>
        <w:keepNext w:val="0"/>
        <w:keepLines w:val="0"/>
        <w:pageBreakBefore w:val="0"/>
        <w:numPr>
          <w:ilvl w:val="0"/>
          <w:numId w:val="0"/>
        </w:numPr>
        <w:kinsoku/>
        <w:wordWrap/>
        <w:overflowPunct/>
        <w:topLinePunct w:val="0"/>
        <w:bidi w:val="0"/>
        <w:adjustRightInd/>
        <w:snapToGrid/>
        <w:spacing w:line="520" w:lineRule="exact"/>
        <w:ind w:left="0" w:leftChars="0" w:firstLine="480" w:firstLineChars="200"/>
        <w:textAlignment w:val="auto"/>
        <w:rPr>
          <w:rFonts w:ascii="Times New Roman" w:hAnsi="Times New Roman" w:eastAsia="仿宋" w:cs="仿宋"/>
          <w:sz w:val="24"/>
          <w:szCs w:val="24"/>
          <w:highlight w:val="none"/>
        </w:rPr>
      </w:pPr>
      <w:r>
        <w:rPr>
          <w:rFonts w:hint="eastAsia" w:ascii="仿宋" w:hAnsi="仿宋" w:eastAsia="仿宋" w:cs="仿宋"/>
          <w:sz w:val="24"/>
          <w:szCs w:val="24"/>
          <w:lang w:val="en-US" w:eastAsia="zh-CN" w:bidi="ar-SA"/>
        </w:rPr>
        <w:t>4</w:t>
      </w:r>
      <w:r>
        <w:rPr>
          <w:rFonts w:hint="default" w:ascii="仿宋" w:hAnsi="仿宋" w:eastAsia="仿宋" w:cs="仿宋"/>
          <w:sz w:val="24"/>
          <w:szCs w:val="24"/>
          <w:lang w:val="en-US" w:eastAsia="zh-CN" w:bidi="ar-SA"/>
        </w:rPr>
        <w:t>．</w:t>
      </w:r>
      <w:r>
        <w:rPr>
          <w:rFonts w:hint="eastAsia" w:ascii="Times New Roman" w:hAnsi="Times New Roman" w:eastAsia="仿宋" w:cs="仿宋"/>
          <w:color w:val="000000"/>
          <w:sz w:val="24"/>
          <w:szCs w:val="24"/>
          <w:highlight w:val="none"/>
        </w:rPr>
        <w:t>本合同经双方签订后起生效。一式肆份，双方各执贰份，均具有同等法律效力。</w:t>
      </w:r>
    </w:p>
    <w:p w14:paraId="39658E3C">
      <w:pPr>
        <w:keepNext w:val="0"/>
        <w:keepLines w:val="0"/>
        <w:pageBreakBefore w:val="0"/>
        <w:kinsoku/>
        <w:wordWrap/>
        <w:overflowPunct/>
        <w:topLinePunct w:val="0"/>
        <w:autoSpaceDE/>
        <w:autoSpaceDN/>
        <w:bidi w:val="0"/>
        <w:adjustRightInd/>
        <w:snapToGrid/>
        <w:spacing w:line="520" w:lineRule="exact"/>
        <w:ind w:left="0" w:firstLine="480" w:firstLineChars="200"/>
        <w:textAlignment w:val="auto"/>
        <w:rPr>
          <w:rFonts w:hint="eastAsia" w:ascii="Times New Roman" w:hAnsi="Times New Roman" w:eastAsia="仿宋" w:cs="仿宋"/>
          <w:color w:val="000000"/>
          <w:sz w:val="24"/>
          <w:szCs w:val="24"/>
          <w:highlight w:val="none"/>
          <w:lang w:eastAsia="zh-CN"/>
        </w:rPr>
      </w:pP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lang w:val="en-US" w:eastAsia="zh-CN"/>
        </w:rPr>
        <w:t>以下无正文</w:t>
      </w:r>
      <w:r>
        <w:rPr>
          <w:rFonts w:hint="eastAsia" w:ascii="Times New Roman" w:hAnsi="Times New Roman" w:eastAsia="仿宋" w:cs="仿宋"/>
          <w:color w:val="000000"/>
          <w:sz w:val="24"/>
          <w:szCs w:val="24"/>
          <w:highlight w:val="none"/>
          <w:lang w:eastAsia="zh-CN"/>
        </w:rPr>
        <w:t>）</w:t>
      </w:r>
    </w:p>
    <w:p w14:paraId="6022CADC">
      <w:pPr>
        <w:spacing w:line="360" w:lineRule="auto"/>
        <w:rPr>
          <w:rFonts w:hint="eastAsia" w:ascii="Times New Roman" w:hAnsi="Times New Roman" w:eastAsia="仿宋" w:cs="仿宋"/>
        </w:rPr>
      </w:pPr>
    </w:p>
    <w:p w14:paraId="00CEB6D8">
      <w:pPr>
        <w:spacing w:line="360" w:lineRule="auto"/>
        <w:rPr>
          <w:rFonts w:hint="eastAsia" w:ascii="Times New Roman" w:hAnsi="Times New Roman" w:eastAsia="仿宋" w:cs="仿宋"/>
          <w:color w:val="000000"/>
        </w:rPr>
      </w:pPr>
      <w:r>
        <w:rPr>
          <w:rFonts w:hint="eastAsia" w:ascii="Times New Roman" w:hAnsi="Times New Roman" w:eastAsia="仿宋" w:cs="仿宋"/>
          <w:color w:val="000000"/>
        </w:rPr>
        <w:t>甲方：福建省能源石化信息科技有限责任公司 （盖公章）</w:t>
      </w:r>
    </w:p>
    <w:p w14:paraId="627A38EA">
      <w:pPr>
        <w:spacing w:line="360" w:lineRule="auto"/>
        <w:ind w:firstLine="636"/>
        <w:rPr>
          <w:rFonts w:hint="eastAsia" w:ascii="Times New Roman" w:hAnsi="Times New Roman" w:eastAsia="仿宋" w:cs="仿宋"/>
          <w:color w:val="000000"/>
        </w:rPr>
      </w:pPr>
    </w:p>
    <w:p w14:paraId="7B503B33">
      <w:pPr>
        <w:spacing w:line="360" w:lineRule="auto"/>
        <w:rPr>
          <w:rFonts w:hint="eastAsia" w:ascii="Times New Roman" w:hAnsi="Times New Roman" w:eastAsia="仿宋" w:cs="仿宋"/>
          <w:color w:val="000000"/>
        </w:rPr>
      </w:pPr>
      <w:r>
        <w:rPr>
          <w:rFonts w:hint="eastAsia" w:ascii="Times New Roman" w:hAnsi="Times New Roman" w:eastAsia="仿宋" w:cs="仿宋"/>
          <w:color w:val="000000"/>
        </w:rPr>
        <w:t>日期：</w:t>
      </w:r>
    </w:p>
    <w:p w14:paraId="3221D8A2">
      <w:pPr>
        <w:spacing w:line="360" w:lineRule="auto"/>
        <w:ind w:firstLine="636"/>
        <w:rPr>
          <w:rFonts w:hint="eastAsia" w:ascii="Times New Roman" w:hAnsi="Times New Roman" w:eastAsia="仿宋" w:cs="仿宋"/>
          <w:color w:val="000000"/>
        </w:rPr>
      </w:pPr>
    </w:p>
    <w:p w14:paraId="62AE038C">
      <w:pPr>
        <w:spacing w:line="360" w:lineRule="auto"/>
        <w:rPr>
          <w:rFonts w:hint="eastAsia" w:ascii="Times New Roman" w:hAnsi="Times New Roman" w:eastAsia="仿宋" w:cs="仿宋"/>
          <w:color w:val="000000"/>
        </w:rPr>
      </w:pPr>
      <w:r>
        <w:rPr>
          <w:rFonts w:hint="eastAsia" w:ascii="Times New Roman" w:hAnsi="Times New Roman" w:eastAsia="仿宋" w:cs="仿宋"/>
          <w:color w:val="000000"/>
        </w:rPr>
        <w:t>乙方：    （盖公章）</w:t>
      </w:r>
    </w:p>
    <w:p w14:paraId="48ED39E6">
      <w:pPr>
        <w:spacing w:line="360" w:lineRule="auto"/>
        <w:ind w:firstLine="636"/>
        <w:rPr>
          <w:rFonts w:hint="eastAsia" w:ascii="Times New Roman" w:hAnsi="Times New Roman" w:eastAsia="仿宋" w:cs="仿宋"/>
          <w:color w:val="000000"/>
        </w:rPr>
      </w:pPr>
    </w:p>
    <w:p w14:paraId="0A431CF4">
      <w:pPr>
        <w:pStyle w:val="7"/>
        <w:rPr>
          <w:rFonts w:ascii="Times New Roman" w:hAnsi="Times New Roman" w:eastAsia="仿宋" w:cs="仿宋"/>
          <w:color w:val="000000"/>
        </w:rPr>
      </w:pPr>
      <w:r>
        <w:rPr>
          <w:rFonts w:ascii="Times New Roman" w:hAnsi="Times New Roman" w:eastAsia="仿宋" w:cs="仿宋"/>
          <w:color w:val="000000"/>
        </w:rPr>
        <w:t>日期：</w:t>
      </w:r>
    </w:p>
    <w:p w14:paraId="4CCC50F0">
      <w:pPr>
        <w:rPr>
          <w:rFonts w:ascii="Times New Roman" w:hAnsi="Times New Roman" w:eastAsia="仿宋" w:cs="仿宋"/>
          <w:color w:val="000000"/>
        </w:rPr>
      </w:pPr>
      <w:r>
        <w:rPr>
          <w:rFonts w:ascii="Times New Roman" w:hAnsi="Times New Roman" w:eastAsia="仿宋" w:cs="仿宋"/>
          <w:color w:val="000000"/>
        </w:rPr>
        <w:br w:type="page"/>
      </w:r>
    </w:p>
    <w:p w14:paraId="4E5B48F9">
      <w:pPr>
        <w:pStyle w:val="9"/>
        <w:ind w:left="0" w:leftChars="0" w:firstLine="0" w:firstLineChars="0"/>
        <w:jc w:val="both"/>
        <w:rPr>
          <w:rFonts w:ascii="Times New Roman" w:hAnsi="Times New Roman" w:eastAsia="仿宋" w:cs="仿宋"/>
          <w:color w:val="000000"/>
        </w:rPr>
      </w:pPr>
      <w:r>
        <w:rPr>
          <w:rFonts w:hint="eastAsia" w:ascii="仿宋" w:hAnsi="仿宋" w:eastAsia="仿宋" w:cs="仿宋"/>
          <w:sz w:val="24"/>
          <w:szCs w:val="24"/>
          <w:lang w:val="en-US" w:eastAsia="zh-CN"/>
        </w:rPr>
        <w:t>附件1：供货清单</w:t>
      </w:r>
    </w:p>
    <w:p w14:paraId="6F807ADD">
      <w:pPr>
        <w:rPr>
          <w:rFonts w:ascii="Times New Roman" w:hAnsi="Times New Roman" w:eastAsia="仿宋" w:cs="仿宋"/>
          <w:color w:val="000000"/>
        </w:rPr>
      </w:pPr>
    </w:p>
    <w:p w14:paraId="6C00F11B">
      <w:pPr>
        <w:rPr>
          <w:rFonts w:ascii="Times New Roman" w:hAnsi="Times New Roman"/>
        </w:rPr>
      </w:pPr>
      <w:r>
        <w:rPr>
          <w:rFonts w:hint="eastAsia" w:ascii="Times New Roman" w:hAnsi="Times New Roman"/>
        </w:rPr>
        <w:br w:type="page"/>
      </w:r>
    </w:p>
    <w:p w14:paraId="28BC29D2">
      <w:pPr>
        <w:pStyle w:val="16"/>
        <w:spacing w:before="0" w:after="0" w:line="560" w:lineRule="exact"/>
        <w:jc w:val="left"/>
        <w:rPr>
          <w:rFonts w:ascii="Times New Roman" w:hAnsi="Times New Roman" w:eastAsia="仿宋"/>
          <w:sz w:val="44"/>
          <w:szCs w:val="44"/>
        </w:rPr>
      </w:pPr>
      <w:bookmarkStart w:id="359" w:name="_Toc7894"/>
      <w:bookmarkStart w:id="360" w:name="_Toc91421118"/>
      <w:bookmarkStart w:id="361" w:name="_Toc8011"/>
      <w:bookmarkStart w:id="362" w:name="_Toc28874"/>
      <w:bookmarkStart w:id="363" w:name="_Toc25391"/>
      <w:bookmarkStart w:id="364" w:name="_Toc5740"/>
      <w:bookmarkStart w:id="365" w:name="_Toc17697"/>
      <w:bookmarkStart w:id="366" w:name="_Toc10946"/>
      <w:bookmarkStart w:id="367" w:name="_Toc815"/>
      <w:bookmarkStart w:id="368" w:name="_Toc27456"/>
      <w:bookmarkStart w:id="369" w:name="_Toc6753"/>
      <w:r>
        <w:rPr>
          <w:rFonts w:hint="eastAsia" w:ascii="Times New Roman" w:hAnsi="Times New Roman" w:eastAsia="仿宋"/>
          <w:sz w:val="44"/>
          <w:szCs w:val="44"/>
        </w:rPr>
        <w:t xml:space="preserve">附件二 </w:t>
      </w:r>
      <w:r>
        <w:rPr>
          <w:rFonts w:ascii="Times New Roman" w:hAnsi="Times New Roman" w:eastAsia="仿宋"/>
          <w:sz w:val="44"/>
          <w:szCs w:val="44"/>
        </w:rPr>
        <w:t xml:space="preserve"> </w:t>
      </w:r>
      <w:r>
        <w:rPr>
          <w:rFonts w:hint="eastAsia" w:ascii="Times New Roman" w:hAnsi="Times New Roman" w:eastAsia="仿宋"/>
          <w:sz w:val="44"/>
          <w:szCs w:val="44"/>
        </w:rPr>
        <w:t>参选文件格式</w:t>
      </w:r>
      <w:bookmarkEnd w:id="351"/>
      <w:bookmarkEnd w:id="359"/>
      <w:bookmarkEnd w:id="360"/>
      <w:bookmarkEnd w:id="361"/>
      <w:bookmarkEnd w:id="362"/>
      <w:bookmarkEnd w:id="363"/>
      <w:bookmarkEnd w:id="364"/>
      <w:bookmarkEnd w:id="365"/>
      <w:bookmarkEnd w:id="366"/>
      <w:bookmarkEnd w:id="367"/>
      <w:bookmarkEnd w:id="368"/>
      <w:bookmarkEnd w:id="369"/>
    </w:p>
    <w:p w14:paraId="65F16641">
      <w:pPr>
        <w:pStyle w:val="14"/>
        <w:rPr>
          <w:rFonts w:ascii="Times New Roman" w:hAnsi="Times New Roman"/>
        </w:rPr>
      </w:pPr>
    </w:p>
    <w:p w14:paraId="70A80AF1">
      <w:pPr>
        <w:spacing w:line="360" w:lineRule="auto"/>
        <w:rPr>
          <w:rFonts w:ascii="Times New Roman" w:hAnsi="Times New Roman"/>
        </w:rPr>
      </w:pPr>
    </w:p>
    <w:p w14:paraId="6143880B">
      <w:pPr>
        <w:spacing w:line="360" w:lineRule="auto"/>
        <w:jc w:val="center"/>
        <w:rPr>
          <w:rFonts w:hint="eastAsia" w:ascii="Times New Roman" w:hAnsi="Times New Roman" w:eastAsia="宋体" w:cs="宋体"/>
          <w:b/>
          <w:sz w:val="52"/>
          <w:szCs w:val="52"/>
          <w:lang w:eastAsia="zh-CN"/>
        </w:rPr>
      </w:pPr>
      <w:r>
        <w:rPr>
          <w:rFonts w:hint="eastAsia" w:ascii="Times New Roman" w:hAnsi="Times New Roman" w:cs="宋体"/>
          <w:b/>
          <w:sz w:val="52"/>
          <w:szCs w:val="52"/>
          <w:lang w:eastAsia="zh-CN"/>
        </w:rPr>
        <w:t>大屏显示系统建设项目</w:t>
      </w:r>
    </w:p>
    <w:p w14:paraId="259CDC93">
      <w:pPr>
        <w:pStyle w:val="23"/>
        <w:rPr>
          <w:rFonts w:ascii="Times New Roman" w:hAnsi="Times New Roman"/>
        </w:rPr>
      </w:pPr>
    </w:p>
    <w:p w14:paraId="0DADDD3D">
      <w:pPr>
        <w:spacing w:line="360" w:lineRule="auto"/>
        <w:jc w:val="center"/>
        <w:rPr>
          <w:rFonts w:ascii="Times New Roman" w:hAnsi="Times New Roman"/>
          <w:b/>
          <w:sz w:val="52"/>
          <w:szCs w:val="52"/>
        </w:rPr>
      </w:pPr>
      <w:r>
        <w:rPr>
          <w:rFonts w:hint="eastAsia" w:ascii="Times New Roman" w:hAnsi="Times New Roman"/>
          <w:b/>
          <w:sz w:val="52"/>
          <w:szCs w:val="52"/>
        </w:rPr>
        <w:t>参  选  文  件</w:t>
      </w:r>
    </w:p>
    <w:p w14:paraId="706E8E18">
      <w:pPr>
        <w:spacing w:line="360" w:lineRule="auto"/>
        <w:jc w:val="center"/>
        <w:rPr>
          <w:rFonts w:ascii="Times New Roman" w:hAnsi="Times New Roman"/>
          <w:b/>
          <w:sz w:val="28"/>
          <w:szCs w:val="28"/>
        </w:rPr>
      </w:pPr>
    </w:p>
    <w:p w14:paraId="7F1FAABF">
      <w:pPr>
        <w:spacing w:line="360" w:lineRule="auto"/>
        <w:rPr>
          <w:rFonts w:ascii="Times New Roman" w:hAnsi="Times New Roman"/>
          <w:b/>
          <w:sz w:val="28"/>
          <w:szCs w:val="28"/>
        </w:rPr>
      </w:pPr>
    </w:p>
    <w:p w14:paraId="0384A0F3">
      <w:pPr>
        <w:spacing w:line="360" w:lineRule="auto"/>
        <w:ind w:firstLine="540" w:firstLineChars="180"/>
        <w:rPr>
          <w:rFonts w:ascii="Times New Roman" w:hAnsi="Times New Roman"/>
          <w:sz w:val="30"/>
          <w:szCs w:val="30"/>
        </w:rPr>
      </w:pPr>
      <w:r>
        <w:rPr>
          <w:rFonts w:hint="eastAsia" w:ascii="Times New Roman" w:hAnsi="Times New Roman"/>
          <w:sz w:val="30"/>
          <w:szCs w:val="30"/>
        </w:rPr>
        <w:t>参选人全称：</w:t>
      </w:r>
      <w:r>
        <w:rPr>
          <w:rFonts w:hint="eastAsia" w:ascii="Times New Roman" w:hAnsi="Times New Roman"/>
          <w:sz w:val="30"/>
          <w:szCs w:val="30"/>
          <w:u w:val="single"/>
        </w:rPr>
        <w:t>　　　　　　　　　　　　　　</w:t>
      </w:r>
      <w:r>
        <w:rPr>
          <w:rFonts w:hint="eastAsia" w:ascii="Times New Roman" w:hAnsi="Times New Roman"/>
          <w:sz w:val="30"/>
          <w:szCs w:val="30"/>
        </w:rPr>
        <w:t>（盖章）</w:t>
      </w:r>
    </w:p>
    <w:p w14:paraId="4AEA8DE2">
      <w:pPr>
        <w:spacing w:line="360" w:lineRule="auto"/>
        <w:ind w:firstLine="540" w:firstLineChars="180"/>
        <w:rPr>
          <w:rFonts w:ascii="Times New Roman" w:hAnsi="Times New Roman"/>
          <w:sz w:val="30"/>
          <w:szCs w:val="30"/>
        </w:rPr>
      </w:pPr>
      <w:r>
        <w:rPr>
          <w:rFonts w:hint="eastAsia" w:ascii="Times New Roman" w:hAnsi="Times New Roman"/>
          <w:sz w:val="30"/>
          <w:szCs w:val="30"/>
        </w:rPr>
        <w:t>法定代表人：</w:t>
      </w:r>
      <w:r>
        <w:rPr>
          <w:rFonts w:hint="eastAsia" w:ascii="Times New Roman" w:hAnsi="Times New Roman"/>
          <w:sz w:val="30"/>
          <w:szCs w:val="30"/>
          <w:u w:val="single"/>
        </w:rPr>
        <w:t>　　　　　　　　　　　　　　</w:t>
      </w:r>
      <w:r>
        <w:rPr>
          <w:rFonts w:hint="eastAsia" w:ascii="Times New Roman" w:hAnsi="Times New Roman"/>
          <w:sz w:val="30"/>
          <w:szCs w:val="30"/>
        </w:rPr>
        <w:t>（签字或盖章）</w:t>
      </w:r>
    </w:p>
    <w:p w14:paraId="67E49EE7">
      <w:pPr>
        <w:spacing w:line="360" w:lineRule="auto"/>
        <w:ind w:firstLine="540" w:firstLineChars="180"/>
        <w:rPr>
          <w:rFonts w:ascii="Times New Roman" w:hAnsi="Times New Roman"/>
          <w:sz w:val="30"/>
          <w:szCs w:val="30"/>
        </w:rPr>
      </w:pPr>
      <w:r>
        <w:rPr>
          <w:rFonts w:hint="eastAsia" w:ascii="Times New Roman" w:hAnsi="Times New Roman"/>
          <w:sz w:val="30"/>
          <w:szCs w:val="30"/>
        </w:rPr>
        <w:t>参选代表：</w:t>
      </w:r>
      <w:r>
        <w:rPr>
          <w:rFonts w:hint="eastAsia" w:ascii="Times New Roman" w:hAnsi="Times New Roman"/>
          <w:sz w:val="30"/>
          <w:szCs w:val="30"/>
          <w:u w:val="single"/>
        </w:rPr>
        <w:t>　　　　　　　　  　　　　　　</w:t>
      </w:r>
      <w:r>
        <w:rPr>
          <w:rFonts w:hint="eastAsia" w:ascii="Times New Roman" w:hAnsi="Times New Roman"/>
          <w:sz w:val="30"/>
          <w:szCs w:val="30"/>
        </w:rPr>
        <w:t>（签字或盖章）</w:t>
      </w:r>
    </w:p>
    <w:p w14:paraId="3D3A0C60">
      <w:pPr>
        <w:spacing w:line="360" w:lineRule="auto"/>
        <w:ind w:firstLine="540" w:firstLineChars="180"/>
        <w:rPr>
          <w:rFonts w:ascii="Times New Roman" w:hAnsi="Times New Roman"/>
          <w:sz w:val="30"/>
          <w:szCs w:val="30"/>
        </w:rPr>
      </w:pPr>
      <w:r>
        <w:rPr>
          <w:rFonts w:hint="eastAsia" w:ascii="Times New Roman" w:hAnsi="Times New Roman"/>
          <w:sz w:val="30"/>
          <w:szCs w:val="30"/>
        </w:rPr>
        <w:t>参选时间：</w:t>
      </w:r>
      <w:r>
        <w:rPr>
          <w:rFonts w:hint="eastAsia" w:ascii="Times New Roman" w:hAnsi="Times New Roman"/>
          <w:sz w:val="30"/>
          <w:szCs w:val="30"/>
          <w:u w:val="single"/>
        </w:rPr>
        <w:t>　　                 　　　　</w:t>
      </w:r>
    </w:p>
    <w:p w14:paraId="2E64249A">
      <w:pPr>
        <w:spacing w:line="360" w:lineRule="auto"/>
        <w:ind w:firstLine="540" w:firstLineChars="180"/>
        <w:rPr>
          <w:rFonts w:ascii="Times New Roman" w:hAnsi="Times New Roman"/>
          <w:sz w:val="30"/>
          <w:szCs w:val="30"/>
        </w:rPr>
      </w:pPr>
      <w:r>
        <w:rPr>
          <w:rFonts w:hint="eastAsia" w:ascii="Times New Roman" w:hAnsi="Times New Roman"/>
          <w:sz w:val="30"/>
          <w:szCs w:val="30"/>
        </w:rPr>
        <w:t>公司地址：</w:t>
      </w:r>
      <w:r>
        <w:rPr>
          <w:rFonts w:hint="eastAsia" w:ascii="Times New Roman" w:hAnsi="Times New Roman"/>
          <w:sz w:val="30"/>
          <w:szCs w:val="30"/>
          <w:u w:val="single"/>
        </w:rPr>
        <w:t>　　　　　　　　　　　　　　　</w:t>
      </w:r>
    </w:p>
    <w:p w14:paraId="4A06914E">
      <w:pPr>
        <w:spacing w:line="360" w:lineRule="auto"/>
        <w:ind w:firstLine="540" w:firstLineChars="180"/>
        <w:rPr>
          <w:rFonts w:ascii="Times New Roman" w:hAnsi="Times New Roman"/>
          <w:sz w:val="30"/>
          <w:szCs w:val="30"/>
          <w:u w:val="single"/>
        </w:rPr>
      </w:pPr>
      <w:r>
        <w:rPr>
          <w:rFonts w:hint="eastAsia" w:ascii="Times New Roman" w:hAnsi="Times New Roman"/>
          <w:sz w:val="30"/>
          <w:szCs w:val="30"/>
        </w:rPr>
        <w:t>联系电话：</w:t>
      </w:r>
      <w:r>
        <w:rPr>
          <w:rFonts w:hint="eastAsia" w:ascii="Times New Roman" w:hAnsi="Times New Roman"/>
          <w:sz w:val="30"/>
          <w:szCs w:val="30"/>
          <w:u w:val="single"/>
        </w:rPr>
        <w:t>　　　　　　　　　　　　　　　</w:t>
      </w:r>
    </w:p>
    <w:p w14:paraId="12FAA816">
      <w:pPr>
        <w:pStyle w:val="8"/>
        <w:spacing w:line="560" w:lineRule="exact"/>
        <w:rPr>
          <w:rFonts w:ascii="Times New Roman" w:hAnsi="Times New Roman"/>
        </w:rPr>
      </w:pPr>
      <w:r>
        <w:rPr>
          <w:rFonts w:ascii="Times New Roman" w:hAnsi="Times New Roman"/>
        </w:rPr>
        <w:br w:type="page"/>
      </w:r>
    </w:p>
    <w:p w14:paraId="30DA8396">
      <w:pPr>
        <w:pStyle w:val="16"/>
        <w:spacing w:before="0" w:after="0" w:line="560" w:lineRule="exact"/>
        <w:jc w:val="left"/>
        <w:rPr>
          <w:rFonts w:ascii="Times New Roman" w:hAnsi="Times New Roman" w:eastAsia="仿宋"/>
          <w:sz w:val="44"/>
          <w:szCs w:val="44"/>
        </w:rPr>
      </w:pPr>
      <w:bookmarkStart w:id="370" w:name="_Toc91421119"/>
      <w:bookmarkStart w:id="371" w:name="_Toc29364"/>
      <w:bookmarkStart w:id="372" w:name="_Toc25567"/>
      <w:bookmarkStart w:id="373" w:name="_Toc28431"/>
      <w:bookmarkStart w:id="374" w:name="_Toc32232"/>
      <w:bookmarkStart w:id="375" w:name="_Toc30985"/>
      <w:bookmarkStart w:id="376" w:name="_Toc21016"/>
      <w:bookmarkStart w:id="377" w:name="_Toc11940"/>
      <w:bookmarkStart w:id="378" w:name="_Toc26144"/>
      <w:bookmarkStart w:id="379" w:name="_Toc4929"/>
      <w:bookmarkStart w:id="380" w:name="_Toc10798"/>
      <w:bookmarkStart w:id="381" w:name="_Toc18757"/>
      <w:r>
        <w:rPr>
          <w:rFonts w:hint="eastAsia" w:ascii="Times New Roman" w:hAnsi="Times New Roman" w:eastAsia="仿宋"/>
          <w:sz w:val="44"/>
          <w:szCs w:val="44"/>
        </w:rPr>
        <w:t>附件</w:t>
      </w:r>
      <w:bookmarkEnd w:id="352"/>
      <w:r>
        <w:rPr>
          <w:rFonts w:hint="eastAsia" w:ascii="Times New Roman" w:hAnsi="Times New Roman" w:eastAsia="仿宋"/>
          <w:sz w:val="44"/>
          <w:szCs w:val="44"/>
        </w:rPr>
        <w:t xml:space="preserve">三 </w:t>
      </w:r>
      <w:r>
        <w:rPr>
          <w:rFonts w:ascii="Times New Roman" w:hAnsi="Times New Roman" w:eastAsia="仿宋"/>
          <w:sz w:val="44"/>
          <w:szCs w:val="44"/>
        </w:rPr>
        <w:t xml:space="preserve"> </w:t>
      </w:r>
      <w:r>
        <w:rPr>
          <w:rFonts w:hint="eastAsia" w:ascii="Times New Roman" w:hAnsi="Times New Roman" w:eastAsia="仿宋"/>
          <w:sz w:val="44"/>
          <w:szCs w:val="44"/>
        </w:rPr>
        <w:t>参选报价单</w:t>
      </w:r>
      <w:bookmarkEnd w:id="370"/>
      <w:bookmarkEnd w:id="371"/>
      <w:bookmarkEnd w:id="372"/>
      <w:bookmarkEnd w:id="373"/>
      <w:bookmarkEnd w:id="374"/>
      <w:bookmarkEnd w:id="375"/>
      <w:bookmarkEnd w:id="376"/>
      <w:bookmarkEnd w:id="377"/>
      <w:bookmarkEnd w:id="378"/>
      <w:bookmarkEnd w:id="379"/>
      <w:bookmarkEnd w:id="380"/>
      <w:bookmarkEnd w:id="381"/>
    </w:p>
    <w:p w14:paraId="13776421">
      <w:pPr>
        <w:pStyle w:val="14"/>
        <w:rPr>
          <w:rFonts w:ascii="Times New Roman" w:hAnsi="Times New Roman"/>
        </w:rPr>
      </w:pPr>
    </w:p>
    <w:p w14:paraId="56CC4191">
      <w:pPr>
        <w:spacing w:line="560" w:lineRule="exact"/>
        <w:jc w:val="center"/>
        <w:rPr>
          <w:rFonts w:ascii="Times New Roman" w:hAnsi="Times New Roman" w:eastAsia="仿宋"/>
          <w:b/>
          <w:sz w:val="44"/>
          <w:szCs w:val="44"/>
        </w:rPr>
      </w:pPr>
      <w:r>
        <w:rPr>
          <w:rFonts w:hint="eastAsia" w:ascii="Times New Roman" w:hAnsi="Times New Roman" w:eastAsia="仿宋"/>
          <w:b/>
          <w:sz w:val="44"/>
          <w:szCs w:val="44"/>
        </w:rPr>
        <w:t>参选报价单</w:t>
      </w:r>
    </w:p>
    <w:tbl>
      <w:tblPr>
        <w:tblStyle w:val="17"/>
        <w:tblW w:w="0" w:type="auto"/>
        <w:jc w:val="center"/>
        <w:tblLayout w:type="fixed"/>
        <w:tblCellMar>
          <w:top w:w="0" w:type="dxa"/>
          <w:left w:w="0" w:type="dxa"/>
          <w:bottom w:w="0" w:type="dxa"/>
          <w:right w:w="0" w:type="dxa"/>
        </w:tblCellMar>
      </w:tblPr>
      <w:tblGrid>
        <w:gridCol w:w="5258"/>
        <w:gridCol w:w="3246"/>
      </w:tblGrid>
      <w:tr w14:paraId="1AD9EE3E">
        <w:trPr>
          <w:trHeight w:val="544" w:hRule="exact"/>
          <w:jc w:val="center"/>
        </w:trPr>
        <w:tc>
          <w:tcPr>
            <w:tcW w:w="5258" w:type="dxa"/>
            <w:tcBorders>
              <w:top w:val="single" w:color="000000" w:sz="4" w:space="0"/>
              <w:left w:val="single" w:color="000000" w:sz="4" w:space="0"/>
              <w:bottom w:val="single" w:color="000000" w:sz="4" w:space="0"/>
              <w:right w:val="single" w:color="000000" w:sz="4" w:space="0"/>
            </w:tcBorders>
            <w:noWrap w:val="0"/>
            <w:vAlign w:val="center"/>
          </w:tcPr>
          <w:p w14:paraId="7D946E46">
            <w:pPr>
              <w:kinsoku w:val="0"/>
              <w:overflowPunct w:val="0"/>
              <w:autoSpaceDE w:val="0"/>
              <w:autoSpaceDN w:val="0"/>
              <w:ind w:left="4"/>
              <w:jc w:val="center"/>
              <w:rPr>
                <w:rFonts w:hint="eastAsia" w:ascii="Times New Roman" w:hAnsi="Times New Roman" w:eastAsia="仿宋" w:cs="仿宋"/>
              </w:rPr>
            </w:pPr>
            <w:r>
              <w:rPr>
                <w:rFonts w:hint="eastAsia" w:ascii="Times New Roman" w:hAnsi="Times New Roman" w:eastAsia="仿宋" w:cs="仿宋"/>
              </w:rPr>
              <w:t>货物(服务）名称</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64645682">
            <w:pPr>
              <w:kinsoku w:val="0"/>
              <w:overflowPunct w:val="0"/>
              <w:autoSpaceDE w:val="0"/>
              <w:autoSpaceDN w:val="0"/>
              <w:jc w:val="center"/>
              <w:rPr>
                <w:rFonts w:ascii="Times New Roman" w:hAnsi="Times New Roman" w:eastAsia="仿宋" w:cs="仿宋"/>
              </w:rPr>
            </w:pPr>
            <w:r>
              <w:rPr>
                <w:rFonts w:hint="eastAsia" w:ascii="Times New Roman" w:hAnsi="Times New Roman" w:eastAsia="仿宋" w:cs="仿宋"/>
              </w:rPr>
              <w:t>设备费用</w:t>
            </w:r>
          </w:p>
        </w:tc>
      </w:tr>
      <w:tr w14:paraId="1575DD79">
        <w:tblPrEx>
          <w:tblCellMar>
            <w:top w:w="0" w:type="dxa"/>
            <w:left w:w="0" w:type="dxa"/>
            <w:bottom w:w="0" w:type="dxa"/>
            <w:right w:w="0" w:type="dxa"/>
          </w:tblCellMar>
        </w:tblPrEx>
        <w:trPr>
          <w:cantSplit/>
          <w:trHeight w:val="443" w:hRule="atLeast"/>
          <w:jc w:val="center"/>
        </w:trPr>
        <w:tc>
          <w:tcPr>
            <w:tcW w:w="5258" w:type="dxa"/>
            <w:tcBorders>
              <w:top w:val="single" w:color="000000" w:sz="4" w:space="0"/>
              <w:left w:val="single" w:color="000000" w:sz="4" w:space="0"/>
              <w:bottom w:val="single" w:color="000000" w:sz="4" w:space="0"/>
              <w:right w:val="single" w:color="000000" w:sz="4" w:space="0"/>
            </w:tcBorders>
            <w:noWrap w:val="0"/>
            <w:vAlign w:val="center"/>
          </w:tcPr>
          <w:p w14:paraId="24A29BC6">
            <w:pPr>
              <w:kinsoku w:val="0"/>
              <w:overflowPunct w:val="0"/>
              <w:autoSpaceDE w:val="0"/>
              <w:autoSpaceDN w:val="0"/>
              <w:spacing w:line="560" w:lineRule="exact"/>
              <w:ind w:left="104"/>
              <w:rPr>
                <w:rFonts w:hint="eastAsia" w:ascii="Times New Roman" w:hAnsi="Times New Roman" w:eastAsia="仿宋" w:cs="仿宋"/>
              </w:rPr>
            </w:pPr>
            <w:r>
              <w:rPr>
                <w:rFonts w:hint="eastAsia" w:ascii="仿宋" w:hAnsi="仿宋" w:eastAsia="仿宋" w:cs="仿宋"/>
                <w:b w:val="0"/>
                <w:bCs/>
                <w:lang w:eastAsia="zh-CN"/>
              </w:rPr>
              <w:t>大屏显示系统建设项目</w:t>
            </w:r>
          </w:p>
        </w:tc>
        <w:tc>
          <w:tcPr>
            <w:tcW w:w="3246" w:type="dxa"/>
            <w:tcBorders>
              <w:top w:val="single" w:color="000000" w:sz="4" w:space="0"/>
              <w:left w:val="single" w:color="000000" w:sz="4" w:space="0"/>
              <w:bottom w:val="single" w:color="000000" w:sz="4" w:space="0"/>
              <w:right w:val="single" w:color="000000" w:sz="4" w:space="0"/>
            </w:tcBorders>
            <w:noWrap w:val="0"/>
            <w:vAlign w:val="center"/>
          </w:tcPr>
          <w:p w14:paraId="3566E0B9">
            <w:pPr>
              <w:pStyle w:val="5"/>
              <w:ind w:firstLine="0"/>
              <w:rPr>
                <w:rFonts w:hint="eastAsia" w:ascii="Times New Roman" w:hAnsi="Times New Roman" w:cs="仿宋"/>
                <w:kern w:val="0"/>
                <w:u w:val="single"/>
              </w:rPr>
            </w:pPr>
            <w:r>
              <w:rPr>
                <w:rFonts w:hint="eastAsia" w:ascii="Times New Roman" w:hAnsi="Times New Roman" w:cs="仿宋"/>
                <w:kern w:val="0"/>
                <w:u w:val="single"/>
              </w:rPr>
              <w:t xml:space="preserve">               </w:t>
            </w:r>
            <w:r>
              <w:rPr>
                <w:rFonts w:hint="eastAsia" w:ascii="Times New Roman" w:hAnsi="Times New Roman" w:cs="仿宋"/>
                <w:kern w:val="0"/>
              </w:rPr>
              <w:t>元（含税）</w:t>
            </w:r>
          </w:p>
        </w:tc>
      </w:tr>
      <w:tr w14:paraId="6D6CA32A">
        <w:tblPrEx>
          <w:tblCellMar>
            <w:top w:w="0" w:type="dxa"/>
            <w:left w:w="0" w:type="dxa"/>
            <w:bottom w:w="0" w:type="dxa"/>
            <w:right w:w="0" w:type="dxa"/>
          </w:tblCellMar>
        </w:tblPrEx>
        <w:trPr>
          <w:cantSplit/>
          <w:trHeight w:val="443" w:hRule="atLeast"/>
          <w:jc w:val="center"/>
        </w:trPr>
        <w:tc>
          <w:tcPr>
            <w:tcW w:w="8504" w:type="dxa"/>
            <w:gridSpan w:val="2"/>
            <w:tcBorders>
              <w:top w:val="single" w:color="000000" w:sz="4" w:space="0"/>
              <w:left w:val="single" w:color="000000" w:sz="4" w:space="0"/>
              <w:bottom w:val="single" w:color="000000" w:sz="4" w:space="0"/>
              <w:right w:val="single" w:color="000000" w:sz="4" w:space="0"/>
            </w:tcBorders>
            <w:noWrap w:val="0"/>
            <w:vAlign w:val="center"/>
          </w:tcPr>
          <w:p w14:paraId="53B6A1D4">
            <w:pPr>
              <w:pStyle w:val="5"/>
              <w:ind w:firstLine="0"/>
              <w:rPr>
                <w:rFonts w:hint="eastAsia" w:ascii="Times New Roman" w:hAnsi="Times New Roman" w:cs="仿宋"/>
                <w:kern w:val="0"/>
              </w:rPr>
            </w:pPr>
            <w:r>
              <w:rPr>
                <w:rFonts w:hint="eastAsia" w:ascii="Times New Roman" w:hAnsi="Times New Roman" w:cs="仿宋"/>
                <w:kern w:val="0"/>
              </w:rPr>
              <w:t>参选报价所涉及的费用包括但不限于咨询、培训、资料费及服务期间所需的人工费、差旅费、食宿费等参选人发生的所有费用。</w:t>
            </w:r>
          </w:p>
        </w:tc>
      </w:tr>
    </w:tbl>
    <w:p w14:paraId="445A652D">
      <w:pPr>
        <w:tabs>
          <w:tab w:val="left" w:pos="7560"/>
        </w:tabs>
        <w:spacing w:line="560" w:lineRule="exact"/>
        <w:rPr>
          <w:rFonts w:ascii="Times New Roman" w:hAnsi="Times New Roman" w:eastAsia="仿宋"/>
          <w:sz w:val="28"/>
          <w:szCs w:val="28"/>
        </w:rPr>
      </w:pPr>
    </w:p>
    <w:p w14:paraId="77E1DC73">
      <w:pPr>
        <w:tabs>
          <w:tab w:val="left" w:pos="7560"/>
        </w:tabs>
        <w:spacing w:line="560" w:lineRule="exact"/>
        <w:rPr>
          <w:rFonts w:ascii="Times New Roman" w:hAnsi="Times New Roman" w:eastAsia="仿宋"/>
          <w:u w:val="single"/>
        </w:rPr>
      </w:pPr>
      <w:r>
        <w:rPr>
          <w:rFonts w:hint="eastAsia" w:ascii="Times New Roman" w:hAnsi="Times New Roman" w:eastAsia="仿宋"/>
        </w:rPr>
        <w:t>参选人（盖章）：</w:t>
      </w:r>
    </w:p>
    <w:p w14:paraId="532660DE">
      <w:pPr>
        <w:tabs>
          <w:tab w:val="left" w:pos="7560"/>
        </w:tabs>
        <w:spacing w:line="560" w:lineRule="exact"/>
        <w:rPr>
          <w:rFonts w:ascii="Times New Roman" w:hAnsi="Times New Roman" w:eastAsia="仿宋"/>
          <w:u w:val="single"/>
        </w:rPr>
      </w:pPr>
      <w:r>
        <w:rPr>
          <w:rFonts w:hint="eastAsia" w:ascii="Times New Roman" w:hAnsi="Times New Roman" w:eastAsia="仿宋"/>
        </w:rPr>
        <w:t>法定代表人/参选代表（签字或盖章）：</w:t>
      </w:r>
    </w:p>
    <w:p w14:paraId="2632C98F">
      <w:pPr>
        <w:spacing w:line="560" w:lineRule="exact"/>
        <w:rPr>
          <w:rFonts w:ascii="Times New Roman" w:hAnsi="Times New Roman" w:eastAsia="仿宋"/>
          <w:u w:val="single"/>
        </w:rPr>
      </w:pPr>
      <w:r>
        <w:rPr>
          <w:rFonts w:hint="eastAsia" w:ascii="Times New Roman" w:hAnsi="Times New Roman" w:eastAsia="仿宋"/>
        </w:rPr>
        <w:t>时  间：</w:t>
      </w:r>
    </w:p>
    <w:p w14:paraId="7A818A5B">
      <w:pPr>
        <w:pStyle w:val="16"/>
        <w:spacing w:before="0" w:after="0" w:line="560" w:lineRule="exact"/>
        <w:jc w:val="left"/>
        <w:rPr>
          <w:rFonts w:ascii="Times New Roman" w:hAnsi="Times New Roman" w:eastAsia="仿宋"/>
          <w:sz w:val="44"/>
          <w:szCs w:val="44"/>
        </w:rPr>
      </w:pPr>
      <w:bookmarkStart w:id="382" w:name="_Toc486321064"/>
      <w:r>
        <w:rPr>
          <w:rFonts w:ascii="Times New Roman" w:hAnsi="Times New Roman" w:eastAsia="仿宋"/>
          <w:sz w:val="44"/>
          <w:szCs w:val="44"/>
        </w:rPr>
        <w:br w:type="page"/>
      </w:r>
      <w:bookmarkStart w:id="383" w:name="_Toc26220"/>
      <w:bookmarkStart w:id="384" w:name="_Toc21606"/>
      <w:bookmarkStart w:id="385" w:name="_Toc12340"/>
      <w:bookmarkStart w:id="386" w:name="_Toc23426"/>
      <w:bookmarkStart w:id="387" w:name="_Toc21286"/>
      <w:bookmarkStart w:id="388" w:name="_Toc22642"/>
      <w:bookmarkStart w:id="389" w:name="_Toc91421120"/>
      <w:bookmarkStart w:id="390" w:name="_Toc32602"/>
      <w:bookmarkStart w:id="391" w:name="_Toc7609"/>
      <w:bookmarkStart w:id="392" w:name="_Toc21755"/>
      <w:bookmarkStart w:id="393" w:name="_Toc7504"/>
      <w:bookmarkStart w:id="394" w:name="_Toc5843"/>
      <w:r>
        <w:rPr>
          <w:rFonts w:hint="eastAsia" w:ascii="Times New Roman" w:hAnsi="Times New Roman" w:eastAsia="仿宋"/>
          <w:sz w:val="44"/>
          <w:szCs w:val="44"/>
        </w:rPr>
        <w:t>附件</w:t>
      </w:r>
      <w:bookmarkEnd w:id="382"/>
      <w:r>
        <w:rPr>
          <w:rFonts w:hint="eastAsia" w:ascii="Times New Roman" w:hAnsi="Times New Roman" w:eastAsia="仿宋"/>
          <w:sz w:val="44"/>
          <w:szCs w:val="44"/>
        </w:rPr>
        <w:t xml:space="preserve">四 </w:t>
      </w:r>
      <w:r>
        <w:rPr>
          <w:rFonts w:ascii="Times New Roman" w:hAnsi="Times New Roman" w:eastAsia="仿宋"/>
          <w:sz w:val="44"/>
          <w:szCs w:val="44"/>
        </w:rPr>
        <w:t xml:space="preserve"> </w:t>
      </w:r>
      <w:r>
        <w:rPr>
          <w:rFonts w:hint="eastAsia" w:ascii="Times New Roman" w:hAnsi="Times New Roman" w:eastAsia="仿宋"/>
          <w:sz w:val="44"/>
          <w:szCs w:val="44"/>
        </w:rPr>
        <w:t>法定代表人授权委托书</w:t>
      </w:r>
      <w:bookmarkEnd w:id="383"/>
      <w:bookmarkEnd w:id="384"/>
      <w:bookmarkEnd w:id="385"/>
      <w:bookmarkEnd w:id="386"/>
      <w:bookmarkEnd w:id="387"/>
      <w:bookmarkEnd w:id="388"/>
      <w:bookmarkEnd w:id="389"/>
      <w:bookmarkEnd w:id="390"/>
      <w:bookmarkEnd w:id="391"/>
      <w:bookmarkEnd w:id="392"/>
      <w:bookmarkEnd w:id="393"/>
      <w:bookmarkEnd w:id="394"/>
    </w:p>
    <w:p w14:paraId="0FE73CB6">
      <w:pPr>
        <w:snapToGrid w:val="0"/>
        <w:spacing w:line="560" w:lineRule="exact"/>
        <w:jc w:val="center"/>
        <w:rPr>
          <w:rFonts w:ascii="Times New Roman" w:hAnsi="Times New Roman"/>
          <w:b/>
          <w:sz w:val="36"/>
          <w:szCs w:val="28"/>
        </w:rPr>
      </w:pPr>
    </w:p>
    <w:p w14:paraId="445A8917">
      <w:pPr>
        <w:snapToGrid w:val="0"/>
        <w:spacing w:line="560" w:lineRule="exact"/>
        <w:jc w:val="center"/>
        <w:rPr>
          <w:rFonts w:ascii="Times New Roman" w:hAnsi="Times New Roman" w:eastAsia="仿宋"/>
          <w:b/>
          <w:sz w:val="44"/>
          <w:szCs w:val="44"/>
        </w:rPr>
      </w:pPr>
      <w:r>
        <w:rPr>
          <w:rFonts w:hint="eastAsia" w:ascii="Times New Roman" w:hAnsi="Times New Roman" w:eastAsia="仿宋"/>
          <w:b/>
          <w:sz w:val="44"/>
          <w:szCs w:val="44"/>
        </w:rPr>
        <w:t>法定代表人授权委托书</w:t>
      </w:r>
    </w:p>
    <w:p w14:paraId="47EF7FA4">
      <w:pPr>
        <w:snapToGrid w:val="0"/>
        <w:spacing w:line="560" w:lineRule="exact"/>
        <w:rPr>
          <w:rFonts w:hint="eastAsia" w:ascii="Times New Roman" w:hAnsi="Times New Roman" w:eastAsia="仿宋"/>
        </w:rPr>
      </w:pPr>
      <w:r>
        <w:rPr>
          <w:rFonts w:hint="eastAsia" w:ascii="Times New Roman" w:hAnsi="Times New Roman" w:eastAsia="仿宋"/>
        </w:rPr>
        <w:t>致：福建省能源石化信息科技有限责任公司</w:t>
      </w:r>
    </w:p>
    <w:p w14:paraId="1797FCC7">
      <w:pPr>
        <w:snapToGrid w:val="0"/>
        <w:spacing w:line="560" w:lineRule="exact"/>
        <w:jc w:val="both"/>
        <w:rPr>
          <w:rFonts w:ascii="Times New Roman" w:hAnsi="Times New Roman" w:eastAsia="仿宋"/>
        </w:rPr>
      </w:pPr>
      <w:r>
        <w:rPr>
          <w:rFonts w:hint="eastAsia" w:ascii="Times New Roman" w:hAnsi="Times New Roman" w:eastAsia="仿宋"/>
        </w:rPr>
        <w:t>本授权书声明:注册于       (公司住所)的      （公司名称)的法定代表人        (法定代表人姓名)代表本公司授权   （代理人的姓名）为公司的参选代表，参加</w:t>
      </w:r>
      <w:r>
        <w:rPr>
          <w:rFonts w:hint="eastAsia" w:ascii="Times New Roman" w:hAnsi="Times New Roman" w:eastAsia="仿宋" w:cs="宋体"/>
          <w:lang w:eastAsia="zh-CN"/>
        </w:rPr>
        <w:t>大屏显示系统建设项目</w:t>
      </w:r>
      <w:r>
        <w:rPr>
          <w:rFonts w:hint="eastAsia" w:ascii="Times New Roman" w:hAnsi="Times New Roman" w:eastAsia="仿宋"/>
        </w:rPr>
        <w:t>的比选，包括但不限于申请登记、比选竞价、签订合同等，并以本公司名义处理一切与之有关的事务，与之相关的的一切责任，均由本公司承担。</w:t>
      </w:r>
    </w:p>
    <w:p w14:paraId="1C827B16">
      <w:pPr>
        <w:snapToGrid w:val="0"/>
        <w:spacing w:line="560" w:lineRule="exact"/>
        <w:rPr>
          <w:rFonts w:ascii="Times New Roman" w:hAnsi="Times New Roman" w:eastAsia="仿宋"/>
        </w:rPr>
      </w:pPr>
    </w:p>
    <w:p w14:paraId="64B2828E">
      <w:pPr>
        <w:snapToGrid w:val="0"/>
        <w:spacing w:line="560" w:lineRule="exact"/>
        <w:rPr>
          <w:rFonts w:ascii="Times New Roman" w:hAnsi="Times New Roman" w:eastAsia="仿宋"/>
        </w:rPr>
      </w:pPr>
      <w:r>
        <w:rPr>
          <w:rFonts w:hint="eastAsia" w:ascii="Times New Roman" w:hAnsi="Times New Roman" w:eastAsia="仿宋"/>
        </w:rPr>
        <w:t>本授权书于    年    月    日签字生效，特此声明。</w:t>
      </w:r>
    </w:p>
    <w:p w14:paraId="652BF6EE">
      <w:pPr>
        <w:snapToGrid w:val="0"/>
        <w:spacing w:line="560" w:lineRule="exact"/>
        <w:rPr>
          <w:rFonts w:ascii="Times New Roman" w:hAnsi="Times New Roman" w:eastAsia="仿宋"/>
        </w:rPr>
      </w:pPr>
      <w:r>
        <w:rPr>
          <w:rFonts w:hint="eastAsia" w:ascii="Times New Roman" w:hAnsi="Times New Roman" w:eastAsia="仿宋"/>
        </w:rPr>
        <w:t xml:space="preserve">参选人（盖章）：                               </w:t>
      </w:r>
    </w:p>
    <w:p w14:paraId="585D194C">
      <w:pPr>
        <w:snapToGrid w:val="0"/>
        <w:spacing w:line="560" w:lineRule="exact"/>
        <w:rPr>
          <w:rFonts w:ascii="Times New Roman" w:hAnsi="Times New Roman" w:eastAsia="仿宋"/>
        </w:rPr>
      </w:pPr>
      <w:r>
        <w:rPr>
          <w:rFonts w:hint="eastAsia" w:ascii="Times New Roman" w:hAnsi="Times New Roman" w:eastAsia="仿宋"/>
        </w:rPr>
        <w:t xml:space="preserve">法定代表人（签字或盖章）：                               </w:t>
      </w:r>
    </w:p>
    <w:p w14:paraId="688A6107">
      <w:pPr>
        <w:snapToGrid w:val="0"/>
        <w:spacing w:line="560" w:lineRule="exact"/>
        <w:rPr>
          <w:rFonts w:ascii="Times New Roman" w:hAnsi="Times New Roman" w:eastAsia="仿宋"/>
        </w:rPr>
      </w:pPr>
      <w:r>
        <w:rPr>
          <w:rFonts w:hint="eastAsia" w:ascii="Times New Roman" w:hAnsi="Times New Roman" w:eastAsia="仿宋"/>
        </w:rPr>
        <w:t xml:space="preserve">法定代表人身份证号码：                             </w:t>
      </w:r>
    </w:p>
    <w:p w14:paraId="0BDEF64D">
      <w:pPr>
        <w:snapToGrid w:val="0"/>
        <w:spacing w:line="560" w:lineRule="exact"/>
        <w:rPr>
          <w:rFonts w:ascii="Times New Roman" w:hAnsi="Times New Roman" w:eastAsia="仿宋"/>
        </w:rPr>
      </w:pPr>
      <w:r>
        <w:rPr>
          <w:rFonts w:hint="eastAsia" w:ascii="Times New Roman" w:hAnsi="Times New Roman" w:eastAsia="仿宋"/>
        </w:rPr>
        <w:t xml:space="preserve">参选代表姓名：        性别：    职务：      </w:t>
      </w:r>
    </w:p>
    <w:p w14:paraId="687F6E29">
      <w:pPr>
        <w:snapToGrid w:val="0"/>
        <w:spacing w:line="560" w:lineRule="exact"/>
        <w:rPr>
          <w:rFonts w:ascii="Times New Roman" w:hAnsi="Times New Roman" w:eastAsia="仿宋"/>
        </w:rPr>
      </w:pPr>
      <w:r>
        <w:rPr>
          <w:rFonts w:hint="eastAsia" w:ascii="Times New Roman" w:hAnsi="Times New Roman" w:eastAsia="仿宋"/>
        </w:rPr>
        <w:t xml:space="preserve">身份证号码：                                        </w:t>
      </w:r>
    </w:p>
    <w:p w14:paraId="54B6CE85">
      <w:pPr>
        <w:snapToGrid w:val="0"/>
        <w:spacing w:line="560" w:lineRule="exact"/>
        <w:rPr>
          <w:rFonts w:ascii="Times New Roman" w:hAnsi="Times New Roman" w:eastAsia="仿宋"/>
        </w:rPr>
      </w:pPr>
      <w:r>
        <w:rPr>
          <w:rFonts w:hint="eastAsia" w:ascii="Times New Roman" w:hAnsi="Times New Roman" w:eastAsia="仿宋"/>
        </w:rPr>
        <w:t xml:space="preserve">联系方式：  </w:t>
      </w:r>
    </w:p>
    <w:p w14:paraId="2FCECACE">
      <w:pPr>
        <w:pStyle w:val="16"/>
        <w:spacing w:before="0" w:after="0" w:line="560" w:lineRule="exact"/>
        <w:jc w:val="left"/>
        <w:rPr>
          <w:rFonts w:ascii="Times New Roman" w:hAnsi="Times New Roman" w:eastAsia="仿宋"/>
          <w:sz w:val="52"/>
          <w:szCs w:val="52"/>
        </w:rPr>
      </w:pPr>
      <w:bookmarkStart w:id="395" w:name="_Toc486321065"/>
      <w:r>
        <w:rPr>
          <w:rFonts w:ascii="Times New Roman" w:hAnsi="Times New Roman"/>
        </w:rPr>
        <w:br w:type="page"/>
      </w:r>
      <w:bookmarkStart w:id="396" w:name="_Toc32454"/>
      <w:bookmarkStart w:id="397" w:name="_Toc17385"/>
      <w:bookmarkStart w:id="398" w:name="_Toc17731"/>
      <w:bookmarkStart w:id="399" w:name="_Toc9076"/>
      <w:bookmarkStart w:id="400" w:name="_Toc12239"/>
      <w:bookmarkStart w:id="401" w:name="_Toc30102"/>
      <w:bookmarkStart w:id="402" w:name="_Toc25346"/>
      <w:bookmarkStart w:id="403" w:name="_Toc28652"/>
      <w:bookmarkStart w:id="404" w:name="_Toc91421121"/>
      <w:bookmarkStart w:id="405" w:name="_Toc23124"/>
      <w:bookmarkStart w:id="406" w:name="_Toc25423"/>
      <w:bookmarkStart w:id="407" w:name="_Toc5761"/>
      <w:r>
        <w:rPr>
          <w:rFonts w:hint="eastAsia" w:ascii="Times New Roman" w:hAnsi="Times New Roman" w:eastAsia="仿宋"/>
          <w:sz w:val="44"/>
          <w:szCs w:val="44"/>
        </w:rPr>
        <w:t>附件</w:t>
      </w:r>
      <w:bookmarkEnd w:id="395"/>
      <w:r>
        <w:rPr>
          <w:rFonts w:hint="eastAsia" w:ascii="Times New Roman" w:hAnsi="Times New Roman" w:eastAsia="仿宋"/>
          <w:sz w:val="44"/>
          <w:szCs w:val="44"/>
        </w:rPr>
        <w:t>五  承诺函</w:t>
      </w:r>
      <w:bookmarkEnd w:id="396"/>
      <w:bookmarkEnd w:id="397"/>
      <w:bookmarkEnd w:id="398"/>
      <w:bookmarkEnd w:id="399"/>
      <w:bookmarkEnd w:id="400"/>
      <w:bookmarkEnd w:id="401"/>
      <w:bookmarkEnd w:id="402"/>
      <w:bookmarkEnd w:id="403"/>
      <w:bookmarkEnd w:id="404"/>
      <w:bookmarkEnd w:id="405"/>
      <w:bookmarkEnd w:id="406"/>
      <w:bookmarkEnd w:id="407"/>
    </w:p>
    <w:p w14:paraId="4508D59C">
      <w:pPr>
        <w:snapToGrid w:val="0"/>
        <w:spacing w:line="560" w:lineRule="exact"/>
        <w:jc w:val="center"/>
        <w:rPr>
          <w:rFonts w:ascii="Times New Roman" w:hAnsi="Times New Roman" w:eastAsia="仿宋"/>
          <w:b/>
          <w:sz w:val="44"/>
          <w:szCs w:val="44"/>
        </w:rPr>
      </w:pPr>
      <w:r>
        <w:rPr>
          <w:rFonts w:hint="eastAsia" w:ascii="Times New Roman" w:hAnsi="Times New Roman" w:eastAsia="仿宋"/>
          <w:b/>
          <w:sz w:val="44"/>
          <w:szCs w:val="44"/>
        </w:rPr>
        <w:t>承诺函</w:t>
      </w:r>
    </w:p>
    <w:p w14:paraId="5A317AC4">
      <w:pPr>
        <w:snapToGrid w:val="0"/>
        <w:spacing w:line="560" w:lineRule="exact"/>
        <w:rPr>
          <w:rFonts w:hint="eastAsia" w:ascii="Times New Roman" w:hAnsi="Times New Roman" w:eastAsia="仿宋"/>
        </w:rPr>
      </w:pPr>
      <w:r>
        <w:rPr>
          <w:rFonts w:hint="eastAsia" w:ascii="Times New Roman" w:hAnsi="Times New Roman" w:eastAsia="仿宋"/>
        </w:rPr>
        <w:t>致：福建省能源石化信息科技有限责任公司</w:t>
      </w:r>
    </w:p>
    <w:p w14:paraId="3B5DC1A5">
      <w:pPr>
        <w:snapToGrid w:val="0"/>
        <w:spacing w:line="560" w:lineRule="exact"/>
        <w:rPr>
          <w:rFonts w:ascii="Times New Roman" w:hAnsi="Times New Roman" w:eastAsia="仿宋"/>
        </w:rPr>
      </w:pPr>
    </w:p>
    <w:p w14:paraId="4A9B4045">
      <w:pPr>
        <w:snapToGrid w:val="0"/>
        <w:spacing w:line="560" w:lineRule="exact"/>
        <w:ind w:firstLine="480" w:firstLineChars="200"/>
        <w:rPr>
          <w:rFonts w:ascii="Times New Roman" w:hAnsi="Times New Roman" w:eastAsia="仿宋"/>
        </w:rPr>
      </w:pPr>
      <w:r>
        <w:rPr>
          <w:rFonts w:hint="eastAsia" w:ascii="Times New Roman" w:hAnsi="Times New Roman" w:eastAsia="仿宋"/>
        </w:rPr>
        <w:t>我方对</w:t>
      </w:r>
      <w:r>
        <w:rPr>
          <w:rFonts w:hint="eastAsia" w:ascii="Times New Roman" w:hAnsi="Times New Roman" w:eastAsia="仿宋" w:cs="宋体"/>
          <w:lang w:eastAsia="zh-CN"/>
        </w:rPr>
        <w:t>大屏显示系统建设项目</w:t>
      </w:r>
      <w:r>
        <w:rPr>
          <w:rFonts w:hint="eastAsia" w:ascii="Times New Roman" w:hAnsi="Times New Roman" w:eastAsia="仿宋"/>
        </w:rPr>
        <w:t>的比选文件表示完全响应，遵照公告的要求，特此确认并承诺：</w:t>
      </w:r>
    </w:p>
    <w:p w14:paraId="338C1B78">
      <w:pPr>
        <w:snapToGrid w:val="0"/>
        <w:spacing w:line="560" w:lineRule="exact"/>
        <w:ind w:firstLine="720" w:firstLineChars="300"/>
        <w:rPr>
          <w:rFonts w:ascii="Times New Roman" w:hAnsi="Times New Roman" w:eastAsia="仿宋"/>
        </w:rPr>
      </w:pPr>
      <w:r>
        <w:rPr>
          <w:rFonts w:hint="eastAsia" w:ascii="Times New Roman" w:hAnsi="Times New Roman" w:eastAsia="仿宋"/>
        </w:rPr>
        <w:t>1. 我方确认，我方已仔细阅读并研究了贵方的公告及其附件，我方完全熟悉其中的要求、条款和条件，并充分了解比选情况。</w:t>
      </w:r>
    </w:p>
    <w:p w14:paraId="5AEFDC69">
      <w:pPr>
        <w:snapToGrid w:val="0"/>
        <w:spacing w:line="560" w:lineRule="exact"/>
        <w:ind w:firstLine="720" w:firstLineChars="300"/>
        <w:rPr>
          <w:rFonts w:ascii="Times New Roman" w:hAnsi="Times New Roman" w:eastAsia="仿宋"/>
        </w:rPr>
      </w:pPr>
      <w:r>
        <w:rPr>
          <w:rFonts w:hint="eastAsia" w:ascii="Times New Roman" w:hAnsi="Times New Roman" w:eastAsia="仿宋"/>
        </w:rPr>
        <w:t>2. 我方确认：我方完全同意比选文件制定的交易规则。接受比选文件中所制定的比选标准。</w:t>
      </w:r>
    </w:p>
    <w:p w14:paraId="7EEBFAAB">
      <w:pPr>
        <w:snapToGrid w:val="0"/>
        <w:spacing w:line="560" w:lineRule="exact"/>
        <w:ind w:firstLine="720" w:firstLineChars="300"/>
        <w:rPr>
          <w:rFonts w:ascii="Times New Roman" w:hAnsi="Times New Roman" w:eastAsia="仿宋"/>
        </w:rPr>
      </w:pPr>
      <w:r>
        <w:rPr>
          <w:rFonts w:hint="eastAsia" w:ascii="Times New Roman" w:hAnsi="Times New Roman" w:eastAsia="仿宋"/>
        </w:rPr>
        <w:t>3. 我方承诺：我方满足比选文件规定的参选要求，所提供的材料均为真实、合法、完整。</w:t>
      </w:r>
    </w:p>
    <w:p w14:paraId="0352F415">
      <w:pPr>
        <w:snapToGrid w:val="0"/>
        <w:spacing w:line="560" w:lineRule="exact"/>
        <w:ind w:firstLine="720" w:firstLineChars="300"/>
        <w:rPr>
          <w:rFonts w:ascii="Times New Roman" w:hAnsi="Times New Roman" w:eastAsia="仿宋"/>
        </w:rPr>
      </w:pPr>
      <w:r>
        <w:rPr>
          <w:rFonts w:hint="eastAsia" w:ascii="Times New Roman" w:hAnsi="Times New Roman" w:eastAsia="仿宋"/>
        </w:rPr>
        <w:t>4. 我方保证：我方确认，我方完全接受比选文件及附件合同的全部条款。自收到该项目中选通知次日起10个工作日内，我方将按贵方要求与相关单位签订服务合同，并在要求的时间内完成服务等。特此承诺。</w:t>
      </w:r>
    </w:p>
    <w:p w14:paraId="0F39C3C9">
      <w:pPr>
        <w:snapToGrid w:val="0"/>
        <w:spacing w:line="560" w:lineRule="exact"/>
        <w:rPr>
          <w:rFonts w:ascii="Times New Roman" w:hAnsi="Times New Roman" w:eastAsia="仿宋"/>
        </w:rPr>
      </w:pPr>
      <w:r>
        <w:rPr>
          <w:rFonts w:hint="eastAsia" w:ascii="Times New Roman" w:hAnsi="Times New Roman" w:eastAsia="仿宋"/>
        </w:rPr>
        <w:t xml:space="preserve">参选人（盖章）：                      </w:t>
      </w:r>
    </w:p>
    <w:p w14:paraId="0C1B1BCB">
      <w:pPr>
        <w:snapToGrid w:val="0"/>
        <w:spacing w:line="560" w:lineRule="exact"/>
        <w:rPr>
          <w:rFonts w:ascii="Times New Roman" w:hAnsi="Times New Roman" w:eastAsia="仿宋"/>
        </w:rPr>
      </w:pPr>
      <w:r>
        <w:rPr>
          <w:rFonts w:hint="eastAsia" w:ascii="Times New Roman" w:hAnsi="Times New Roman" w:eastAsia="仿宋"/>
        </w:rPr>
        <w:t xml:space="preserve">法定代表人或参选代表（签字或盖章）：          </w:t>
      </w:r>
    </w:p>
    <w:p w14:paraId="595DF1AF">
      <w:pPr>
        <w:snapToGrid w:val="0"/>
        <w:spacing w:line="560" w:lineRule="exact"/>
        <w:rPr>
          <w:rFonts w:ascii="Times New Roman" w:hAnsi="Times New Roman" w:eastAsia="仿宋"/>
        </w:rPr>
      </w:pPr>
      <w:r>
        <w:rPr>
          <w:rFonts w:hint="eastAsia" w:ascii="Times New Roman" w:hAnsi="Times New Roman" w:eastAsia="仿宋"/>
        </w:rPr>
        <w:t xml:space="preserve">地  址：                                 </w:t>
      </w:r>
    </w:p>
    <w:p w14:paraId="6E58D7C5">
      <w:pPr>
        <w:snapToGrid w:val="0"/>
        <w:spacing w:line="560" w:lineRule="exact"/>
        <w:rPr>
          <w:rFonts w:ascii="Times New Roman" w:hAnsi="Times New Roman" w:eastAsia="仿宋"/>
        </w:rPr>
      </w:pPr>
      <w:r>
        <w:rPr>
          <w:rFonts w:hint="eastAsia" w:ascii="Times New Roman" w:hAnsi="Times New Roman" w:eastAsia="仿宋"/>
        </w:rPr>
        <w:t xml:space="preserve">联系人：                                 </w:t>
      </w:r>
    </w:p>
    <w:p w14:paraId="4DD9A3F0">
      <w:pPr>
        <w:snapToGrid w:val="0"/>
        <w:spacing w:line="560" w:lineRule="exact"/>
        <w:rPr>
          <w:rFonts w:ascii="Times New Roman" w:hAnsi="Times New Roman" w:eastAsia="仿宋"/>
        </w:rPr>
      </w:pPr>
      <w:r>
        <w:rPr>
          <w:rFonts w:hint="eastAsia" w:ascii="Times New Roman" w:hAnsi="Times New Roman" w:eastAsia="仿宋"/>
        </w:rPr>
        <w:t xml:space="preserve">电  话：                                 </w:t>
      </w:r>
    </w:p>
    <w:p w14:paraId="4A9D8B84">
      <w:pPr>
        <w:snapToGrid w:val="0"/>
        <w:spacing w:line="560" w:lineRule="exact"/>
        <w:rPr>
          <w:rFonts w:ascii="Times New Roman" w:hAnsi="Times New Roman"/>
        </w:rPr>
      </w:pPr>
      <w:r>
        <w:rPr>
          <w:rFonts w:hint="eastAsia" w:ascii="Times New Roman" w:hAnsi="Times New Roman" w:eastAsia="仿宋"/>
        </w:rPr>
        <w:t>年    月    日</w:t>
      </w:r>
      <w:bookmarkEnd w:id="353"/>
    </w:p>
    <w:p w14:paraId="574DF2A9">
      <w:pPr>
        <w:pStyle w:val="23"/>
        <w:rPr>
          <w:rFonts w:ascii="Times New Roman" w:hAnsi="Times New Roman"/>
        </w:rPr>
        <w:sectPr>
          <w:pgSz w:w="11906" w:h="16838"/>
          <w:pgMar w:top="1440" w:right="1800" w:bottom="1440" w:left="1800" w:header="851" w:footer="992" w:gutter="0"/>
          <w:pgNumType w:fmt="numberInDash"/>
          <w:cols w:space="720" w:num="1"/>
          <w:docGrid w:type="lines" w:linePitch="312" w:charSpace="0"/>
        </w:sectPr>
      </w:pPr>
    </w:p>
    <w:p w14:paraId="03712C25">
      <w:pPr>
        <w:pStyle w:val="16"/>
        <w:spacing w:before="0" w:after="0" w:line="560" w:lineRule="exact"/>
        <w:jc w:val="left"/>
        <w:rPr>
          <w:rFonts w:ascii="Times New Roman" w:hAnsi="Times New Roman" w:eastAsia="仿宋"/>
          <w:sz w:val="44"/>
          <w:szCs w:val="44"/>
        </w:rPr>
      </w:pPr>
      <w:bookmarkStart w:id="408" w:name="_Toc24830"/>
      <w:bookmarkStart w:id="409" w:name="_Toc32204"/>
      <w:bookmarkStart w:id="410" w:name="_Toc91421122"/>
      <w:bookmarkStart w:id="411" w:name="_Toc25724"/>
      <w:bookmarkStart w:id="412" w:name="_Toc15059"/>
      <w:bookmarkStart w:id="413" w:name="_Toc6569"/>
      <w:bookmarkStart w:id="414" w:name="_Toc27423"/>
      <w:bookmarkStart w:id="415" w:name="_Toc26435"/>
      <w:bookmarkStart w:id="416" w:name="_Toc1846"/>
      <w:bookmarkStart w:id="417" w:name="_Toc22944"/>
      <w:bookmarkStart w:id="418" w:name="_Toc19249"/>
      <w:bookmarkStart w:id="419" w:name="_Toc13696"/>
      <w:r>
        <w:rPr>
          <w:rFonts w:hint="eastAsia" w:ascii="Times New Roman" w:hAnsi="Times New Roman" w:eastAsia="仿宋"/>
          <w:sz w:val="44"/>
          <w:szCs w:val="44"/>
        </w:rPr>
        <w:t>附件</w:t>
      </w:r>
      <w:bookmarkEnd w:id="408"/>
      <w:r>
        <w:rPr>
          <w:rFonts w:hint="eastAsia" w:ascii="Times New Roman" w:hAnsi="Times New Roman" w:eastAsia="仿宋"/>
          <w:sz w:val="44"/>
          <w:szCs w:val="44"/>
        </w:rPr>
        <w:t xml:space="preserve">六 </w:t>
      </w:r>
      <w:r>
        <w:rPr>
          <w:rFonts w:ascii="Times New Roman" w:hAnsi="Times New Roman" w:eastAsia="仿宋"/>
          <w:sz w:val="44"/>
          <w:szCs w:val="44"/>
        </w:rPr>
        <w:t xml:space="preserve"> 参选函</w:t>
      </w:r>
      <w:bookmarkEnd w:id="409"/>
      <w:bookmarkEnd w:id="410"/>
      <w:bookmarkEnd w:id="411"/>
      <w:bookmarkEnd w:id="412"/>
      <w:bookmarkEnd w:id="413"/>
      <w:bookmarkEnd w:id="414"/>
      <w:bookmarkEnd w:id="415"/>
      <w:bookmarkEnd w:id="416"/>
      <w:bookmarkEnd w:id="417"/>
      <w:bookmarkEnd w:id="418"/>
      <w:bookmarkEnd w:id="419"/>
    </w:p>
    <w:p w14:paraId="01AB144F">
      <w:pPr>
        <w:snapToGrid w:val="0"/>
        <w:spacing w:line="560" w:lineRule="exact"/>
        <w:jc w:val="center"/>
        <w:rPr>
          <w:rFonts w:ascii="Times New Roman" w:hAnsi="Times New Roman" w:eastAsia="仿宋"/>
          <w:b/>
          <w:sz w:val="44"/>
          <w:szCs w:val="44"/>
        </w:rPr>
      </w:pPr>
      <w:r>
        <w:rPr>
          <w:rFonts w:hint="eastAsia" w:ascii="Times New Roman" w:hAnsi="Times New Roman" w:eastAsia="仿宋"/>
          <w:b/>
          <w:sz w:val="44"/>
          <w:szCs w:val="44"/>
        </w:rPr>
        <w:t>参 选 函</w:t>
      </w:r>
    </w:p>
    <w:p w14:paraId="79326201">
      <w:pPr>
        <w:pStyle w:val="7"/>
        <w:adjustRightInd w:val="0"/>
        <w:snapToGrid w:val="0"/>
        <w:spacing w:line="360" w:lineRule="auto"/>
        <w:rPr>
          <w:rFonts w:hint="default" w:ascii="Times New Roman" w:hAnsi="Times New Roman" w:eastAsia="仿宋" w:cs="宋体"/>
          <w:szCs w:val="24"/>
          <w:u w:val="single"/>
        </w:rPr>
      </w:pPr>
    </w:p>
    <w:p w14:paraId="069EE8A0">
      <w:pPr>
        <w:pStyle w:val="7"/>
        <w:adjustRightInd w:val="0"/>
        <w:snapToGrid w:val="0"/>
        <w:spacing w:line="360" w:lineRule="auto"/>
        <w:rPr>
          <w:rFonts w:hint="default" w:ascii="Times New Roman" w:hAnsi="Times New Roman" w:eastAsia="仿宋" w:cs="宋体"/>
          <w:szCs w:val="24"/>
          <w:u w:val="single"/>
        </w:rPr>
      </w:pPr>
      <w:r>
        <w:rPr>
          <w:rFonts w:ascii="Times New Roman" w:hAnsi="Times New Roman" w:eastAsia="仿宋" w:cs="宋体"/>
          <w:bCs/>
          <w:szCs w:val="24"/>
          <w:u w:val="single"/>
        </w:rPr>
        <w:t>福建省能源石化信息科技有限责任公司：</w:t>
      </w:r>
    </w:p>
    <w:p w14:paraId="0759CBFA">
      <w:pPr>
        <w:spacing w:before="120" w:after="120" w:line="360" w:lineRule="auto"/>
        <w:ind w:firstLine="480" w:firstLineChars="200"/>
        <w:rPr>
          <w:rFonts w:ascii="Times New Roman" w:hAnsi="Times New Roman" w:eastAsia="仿宋"/>
        </w:rPr>
      </w:pPr>
      <w:r>
        <w:rPr>
          <w:rFonts w:hint="eastAsia" w:ascii="Times New Roman" w:hAnsi="Times New Roman" w:eastAsia="仿宋"/>
        </w:rPr>
        <w:t>我方已全面阅读和研究了贵方关于</w:t>
      </w:r>
      <w:r>
        <w:rPr>
          <w:rFonts w:hint="eastAsia" w:ascii="Times New Roman" w:hAnsi="Times New Roman" w:eastAsia="仿宋" w:cs="宋体"/>
          <w:lang w:eastAsia="zh-CN"/>
        </w:rPr>
        <w:t>大屏显示系统建设项目</w:t>
      </w:r>
      <w:r>
        <w:rPr>
          <w:rFonts w:hint="eastAsia" w:ascii="Times New Roman" w:hAnsi="Times New Roman" w:eastAsia="仿宋"/>
        </w:rPr>
        <w:t>自主比选相关文件，已充分理解并掌握了本项目的全部有关情况。同意接受自主比选文件的全部内容和条件，并按此确定参选的要约内容，以本参选函向贵方发包的</w:t>
      </w:r>
      <w:r>
        <w:rPr>
          <w:rFonts w:hint="eastAsia" w:ascii="Times New Roman" w:hAnsi="Times New Roman" w:eastAsia="仿宋"/>
          <w:b w:val="0"/>
          <w:bCs w:val="0"/>
          <w:u w:val="single"/>
        </w:rPr>
        <w:t xml:space="preserve"> </w:t>
      </w:r>
      <w:r>
        <w:rPr>
          <w:rFonts w:hint="eastAsia" w:ascii="仿宋" w:hAnsi="仿宋" w:eastAsia="仿宋" w:cs="仿宋"/>
          <w:b w:val="0"/>
          <w:bCs w:val="0"/>
          <w:u w:val="single"/>
          <w:lang w:eastAsia="zh-CN"/>
        </w:rPr>
        <w:t>大屏显示系统建设项目</w:t>
      </w:r>
      <w:r>
        <w:rPr>
          <w:rFonts w:hint="eastAsia" w:ascii="Times New Roman" w:hAnsi="Times New Roman" w:eastAsia="仿宋"/>
        </w:rPr>
        <w:t>自主比选进行参选。参选报价见参选报价单。</w:t>
      </w:r>
    </w:p>
    <w:p w14:paraId="1F819130">
      <w:pPr>
        <w:snapToGrid w:val="0"/>
        <w:spacing w:line="360" w:lineRule="auto"/>
        <w:ind w:firstLine="480" w:firstLineChars="200"/>
        <w:rPr>
          <w:rFonts w:ascii="Times New Roman" w:hAnsi="Times New Roman" w:eastAsia="仿宋"/>
        </w:rPr>
      </w:pPr>
      <w:r>
        <w:rPr>
          <w:rFonts w:hint="eastAsia" w:ascii="Times New Roman" w:hAnsi="Times New Roman" w:eastAsia="仿宋"/>
        </w:rPr>
        <w:t>我方将严格按照国家法律法规、参选法规及自主比选文件的规定参加比选，并理解贵方不一定接受最低报价的比选，对决选结果也没有解释义务。如由我方中选，在接到贵方发出的中选通知书规定的期限内，按中选通知书、自主比选文件和本参选函的约定与贵方签订合同，履行规定的一切责任和义务。</w:t>
      </w:r>
    </w:p>
    <w:p w14:paraId="519562A5">
      <w:pPr>
        <w:snapToGrid w:val="0"/>
        <w:spacing w:line="360" w:lineRule="auto"/>
        <w:ind w:firstLine="480" w:firstLineChars="200"/>
        <w:rPr>
          <w:rFonts w:hint="eastAsia" w:ascii="Times New Roman" w:hAnsi="Times New Roman" w:eastAsia="仿宋"/>
        </w:rPr>
      </w:pPr>
      <w:r>
        <w:rPr>
          <w:rFonts w:hint="eastAsia" w:ascii="Times New Roman" w:hAnsi="Times New Roman" w:eastAsia="仿宋"/>
        </w:rPr>
        <w:t>本参选函自出具之日起生效，全部条款内容对我方具有约束力。我方在此承诺，所递交的参选文件及有关资料内容完整、真实和准确，且不存在法律法规限制参选的任何情形，知识产权清晰、无纠纷。</w:t>
      </w:r>
    </w:p>
    <w:p w14:paraId="4E92AD63">
      <w:pPr>
        <w:snapToGrid w:val="0"/>
        <w:spacing w:line="360" w:lineRule="auto"/>
        <w:ind w:firstLine="480" w:firstLineChars="200"/>
        <w:rPr>
          <w:rFonts w:ascii="Times New Roman" w:hAnsi="Times New Roman" w:eastAsia="仿宋"/>
        </w:rPr>
      </w:pPr>
      <w:r>
        <w:rPr>
          <w:rFonts w:hint="eastAsia" w:ascii="Times New Roman" w:hAnsi="Times New Roman" w:eastAsia="仿宋"/>
        </w:rPr>
        <w:t>以上所述事项如有虚假，我方愿意承担相应法律责任（包括违约责任）。</w:t>
      </w:r>
    </w:p>
    <w:p w14:paraId="5377456A">
      <w:pPr>
        <w:snapToGrid w:val="0"/>
        <w:spacing w:line="360" w:lineRule="auto"/>
        <w:ind w:firstLine="480" w:firstLineChars="200"/>
        <w:rPr>
          <w:rFonts w:ascii="Times New Roman" w:hAnsi="Times New Roman" w:eastAsia="仿宋"/>
        </w:rPr>
      </w:pPr>
    </w:p>
    <w:p w14:paraId="790508DE">
      <w:pPr>
        <w:snapToGrid w:val="0"/>
        <w:spacing w:line="360" w:lineRule="auto"/>
        <w:rPr>
          <w:rFonts w:ascii="Times New Roman" w:hAnsi="Times New Roman" w:eastAsia="仿宋"/>
        </w:rPr>
      </w:pPr>
      <w:r>
        <w:rPr>
          <w:rFonts w:hint="eastAsia" w:ascii="Times New Roman" w:hAnsi="Times New Roman" w:eastAsia="仿宋"/>
        </w:rPr>
        <w:t>参选人（盖单位章）：           法定代表人(或参选代表)（签字或盖章）：</w:t>
      </w:r>
    </w:p>
    <w:p w14:paraId="2B04CA3F">
      <w:pPr>
        <w:snapToGrid w:val="0"/>
        <w:spacing w:line="360" w:lineRule="auto"/>
        <w:rPr>
          <w:rFonts w:ascii="Times New Roman" w:hAnsi="Times New Roman" w:eastAsia="仿宋"/>
        </w:rPr>
      </w:pPr>
    </w:p>
    <w:p w14:paraId="0F6F7EFB">
      <w:pPr>
        <w:snapToGrid w:val="0"/>
        <w:spacing w:line="360" w:lineRule="auto"/>
        <w:rPr>
          <w:rFonts w:ascii="Times New Roman" w:hAnsi="Times New Roman" w:eastAsia="仿宋"/>
        </w:rPr>
      </w:pPr>
      <w:r>
        <w:rPr>
          <w:rFonts w:hint="eastAsia" w:ascii="Times New Roman" w:hAnsi="Times New Roman" w:eastAsia="仿宋"/>
        </w:rPr>
        <w:t>地址：                         邮编：</w:t>
      </w:r>
    </w:p>
    <w:p w14:paraId="42D21098">
      <w:pPr>
        <w:snapToGrid w:val="0"/>
        <w:spacing w:line="360" w:lineRule="auto"/>
        <w:rPr>
          <w:rFonts w:ascii="Times New Roman" w:hAnsi="Times New Roman" w:eastAsia="仿宋"/>
        </w:rPr>
      </w:pPr>
    </w:p>
    <w:p w14:paraId="3ACDA823">
      <w:pPr>
        <w:snapToGrid w:val="0"/>
        <w:spacing w:line="360" w:lineRule="auto"/>
        <w:rPr>
          <w:rFonts w:ascii="Times New Roman" w:hAnsi="Times New Roman" w:eastAsia="仿宋"/>
        </w:rPr>
      </w:pPr>
      <w:r>
        <w:rPr>
          <w:rFonts w:hint="eastAsia" w:ascii="Times New Roman" w:hAnsi="Times New Roman" w:eastAsia="仿宋"/>
        </w:rPr>
        <w:t>电 话：                        传真：</w:t>
      </w:r>
    </w:p>
    <w:p w14:paraId="228794E4">
      <w:pPr>
        <w:pStyle w:val="24"/>
        <w:adjustRightInd w:val="0"/>
        <w:spacing w:afterLines="0" w:line="360" w:lineRule="auto"/>
        <w:ind w:firstLine="480"/>
        <w:jc w:val="right"/>
        <w:rPr>
          <w:rFonts w:ascii="Times New Roman" w:hAnsi="Times New Roman" w:eastAsia="仿宋" w:cs="宋体"/>
          <w:szCs w:val="24"/>
        </w:rPr>
      </w:pPr>
      <w:r>
        <w:rPr>
          <w:rFonts w:hint="eastAsia" w:ascii="Times New Roman" w:hAnsi="Times New Roman" w:eastAsia="仿宋" w:cs="宋体"/>
          <w:szCs w:val="24"/>
        </w:rPr>
        <w:t xml:space="preserve">                              </w:t>
      </w:r>
    </w:p>
    <w:p w14:paraId="094A4542">
      <w:pPr>
        <w:pStyle w:val="24"/>
        <w:wordWrap w:val="0"/>
        <w:adjustRightInd w:val="0"/>
        <w:spacing w:afterLines="0" w:line="360" w:lineRule="auto"/>
        <w:ind w:firstLine="480"/>
        <w:jc w:val="right"/>
        <w:rPr>
          <w:rFonts w:ascii="Times New Roman" w:hAnsi="Times New Roman" w:eastAsia="仿宋" w:cs="宋体"/>
          <w:szCs w:val="24"/>
        </w:rPr>
      </w:pPr>
      <w:r>
        <w:rPr>
          <w:rFonts w:hint="eastAsia" w:ascii="Times New Roman" w:hAnsi="Times New Roman" w:eastAsia="仿宋" w:cs="宋体"/>
          <w:szCs w:val="24"/>
        </w:rPr>
        <w:t xml:space="preserve">年     月     日      </w:t>
      </w:r>
    </w:p>
    <w:p w14:paraId="1DB63165">
      <w:pPr>
        <w:pStyle w:val="14"/>
        <w:spacing w:after="0" w:line="360" w:lineRule="auto"/>
        <w:rPr>
          <w:rFonts w:ascii="Times New Roman" w:hAnsi="Times New Roman" w:eastAsia="仿宋" w:cs="宋体"/>
          <w:sz w:val="18"/>
          <w:szCs w:val="18"/>
        </w:rPr>
      </w:pPr>
    </w:p>
    <w:p w14:paraId="46133716">
      <w:pPr>
        <w:pStyle w:val="14"/>
        <w:spacing w:after="0" w:line="360" w:lineRule="auto"/>
        <w:ind w:left="360" w:leftChars="150"/>
        <w:rPr>
          <w:rFonts w:ascii="Times New Roman" w:hAnsi="Times New Roman" w:eastAsia="仿宋" w:cs="宋体"/>
          <w:sz w:val="18"/>
          <w:szCs w:val="18"/>
        </w:rPr>
        <w:sectPr>
          <w:pgSz w:w="11906" w:h="16838"/>
          <w:pgMar w:top="1440" w:right="1800" w:bottom="1440" w:left="1800" w:header="851" w:footer="992" w:gutter="0"/>
          <w:pgNumType w:fmt="numberInDash"/>
          <w:cols w:space="720" w:num="1"/>
          <w:docGrid w:type="lines" w:linePitch="312" w:charSpace="0"/>
        </w:sectPr>
      </w:pPr>
    </w:p>
    <w:p w14:paraId="4BC96BA0">
      <w:pPr>
        <w:pStyle w:val="16"/>
        <w:spacing w:before="0" w:after="0" w:line="560" w:lineRule="exact"/>
        <w:jc w:val="left"/>
        <w:rPr>
          <w:rFonts w:ascii="Times New Roman" w:hAnsi="Times New Roman" w:eastAsia="仿宋"/>
          <w:sz w:val="44"/>
          <w:szCs w:val="44"/>
        </w:rPr>
      </w:pPr>
      <w:bookmarkStart w:id="420" w:name="_Toc14027"/>
      <w:bookmarkStart w:id="421" w:name="_Toc2349"/>
      <w:bookmarkStart w:id="422" w:name="_Toc13907"/>
      <w:bookmarkStart w:id="423" w:name="_Toc30717"/>
      <w:bookmarkStart w:id="424" w:name="_Toc91421125"/>
      <w:bookmarkStart w:id="425" w:name="_Toc6255"/>
      <w:bookmarkStart w:id="426" w:name="_Toc26209"/>
      <w:bookmarkStart w:id="427" w:name="_Toc12631"/>
      <w:bookmarkStart w:id="428" w:name="_Toc7952"/>
      <w:bookmarkStart w:id="429" w:name="_Toc13147"/>
      <w:bookmarkStart w:id="430" w:name="_Toc20958"/>
      <w:bookmarkStart w:id="431" w:name="_Toc28646"/>
      <w:r>
        <w:rPr>
          <w:rFonts w:hint="eastAsia" w:ascii="Times New Roman" w:hAnsi="Times New Roman" w:eastAsia="仿宋"/>
          <w:sz w:val="44"/>
          <w:szCs w:val="44"/>
        </w:rPr>
        <w:t>附件</w:t>
      </w:r>
      <w:bookmarkEnd w:id="420"/>
      <w:r>
        <w:rPr>
          <w:rFonts w:hint="eastAsia" w:ascii="Times New Roman" w:hAnsi="Times New Roman" w:eastAsia="仿宋"/>
          <w:sz w:val="44"/>
          <w:szCs w:val="44"/>
        </w:rPr>
        <w:t xml:space="preserve">七 </w:t>
      </w:r>
      <w:r>
        <w:rPr>
          <w:rFonts w:ascii="Times New Roman" w:hAnsi="Times New Roman" w:eastAsia="仿宋"/>
          <w:sz w:val="44"/>
          <w:szCs w:val="44"/>
        </w:rPr>
        <w:t xml:space="preserve"> </w:t>
      </w:r>
      <w:r>
        <w:rPr>
          <w:rFonts w:hint="eastAsia" w:ascii="Times New Roman" w:hAnsi="Times New Roman" w:eastAsia="仿宋"/>
          <w:sz w:val="44"/>
          <w:szCs w:val="44"/>
        </w:rPr>
        <w:t>资格证明文件</w:t>
      </w:r>
      <w:bookmarkEnd w:id="421"/>
      <w:bookmarkEnd w:id="422"/>
      <w:bookmarkEnd w:id="423"/>
      <w:bookmarkEnd w:id="424"/>
      <w:bookmarkEnd w:id="425"/>
      <w:bookmarkEnd w:id="426"/>
      <w:bookmarkEnd w:id="427"/>
      <w:bookmarkEnd w:id="428"/>
      <w:bookmarkEnd w:id="429"/>
      <w:bookmarkEnd w:id="430"/>
      <w:bookmarkEnd w:id="431"/>
    </w:p>
    <w:p w14:paraId="593F33A8">
      <w:pPr>
        <w:spacing w:line="360" w:lineRule="auto"/>
        <w:ind w:firstLine="435"/>
        <w:jc w:val="center"/>
        <w:rPr>
          <w:rFonts w:ascii="Times New Roman" w:hAnsi="Times New Roman" w:eastAsia="仿宋"/>
          <w:b/>
          <w:sz w:val="36"/>
          <w:szCs w:val="36"/>
        </w:rPr>
      </w:pPr>
    </w:p>
    <w:p w14:paraId="044278F8">
      <w:pPr>
        <w:spacing w:line="360" w:lineRule="auto"/>
        <w:ind w:firstLine="435"/>
        <w:jc w:val="center"/>
        <w:rPr>
          <w:rFonts w:ascii="Times New Roman" w:hAnsi="Times New Roman" w:eastAsia="仿宋"/>
          <w:b/>
          <w:sz w:val="28"/>
          <w:szCs w:val="28"/>
        </w:rPr>
      </w:pPr>
      <w:r>
        <w:rPr>
          <w:rFonts w:hint="eastAsia" w:ascii="Times New Roman" w:hAnsi="Times New Roman" w:eastAsia="仿宋"/>
          <w:b/>
          <w:sz w:val="36"/>
          <w:szCs w:val="36"/>
        </w:rPr>
        <w:t>关于资格的声明函</w:t>
      </w:r>
    </w:p>
    <w:p w14:paraId="31CE079E">
      <w:pPr>
        <w:spacing w:line="360" w:lineRule="auto"/>
        <w:rPr>
          <w:rFonts w:ascii="Times New Roman" w:hAnsi="Times New Roman" w:eastAsia="仿宋"/>
        </w:rPr>
      </w:pPr>
    </w:p>
    <w:p w14:paraId="13556457">
      <w:pPr>
        <w:spacing w:line="360" w:lineRule="auto"/>
        <w:rPr>
          <w:rFonts w:hint="eastAsia" w:ascii="Times New Roman" w:hAnsi="Times New Roman" w:eastAsia="仿宋" w:cs="仿宋"/>
          <w:u w:val="single"/>
        </w:rPr>
      </w:pPr>
      <w:r>
        <w:rPr>
          <w:rFonts w:hint="eastAsia" w:ascii="Times New Roman" w:hAnsi="Times New Roman" w:eastAsia="仿宋" w:cs="仿宋"/>
          <w:u w:val="single"/>
        </w:rPr>
        <w:t>福建省能源石化信息科技有限责任公司：</w:t>
      </w:r>
    </w:p>
    <w:p w14:paraId="4E2188B3">
      <w:pPr>
        <w:spacing w:line="360" w:lineRule="auto"/>
        <w:rPr>
          <w:rFonts w:hint="eastAsia" w:ascii="Times New Roman" w:hAnsi="Times New Roman" w:eastAsia="仿宋" w:cs="仿宋"/>
        </w:rPr>
      </w:pPr>
    </w:p>
    <w:p w14:paraId="01E8859D">
      <w:pPr>
        <w:spacing w:line="360" w:lineRule="auto"/>
        <w:rPr>
          <w:rFonts w:hint="eastAsia" w:ascii="Times New Roman" w:hAnsi="Times New Roman" w:eastAsia="仿宋" w:cs="仿宋"/>
        </w:rPr>
      </w:pPr>
      <w:r>
        <w:rPr>
          <w:rFonts w:hint="eastAsia" w:ascii="Times New Roman" w:hAnsi="Times New Roman" w:eastAsia="仿宋" w:cs="仿宋"/>
        </w:rPr>
        <w:t xml:space="preserve">    关于贵方自主比选邀请，参选人愿意参加</w:t>
      </w:r>
      <w:r>
        <w:rPr>
          <w:rFonts w:hint="eastAsia" w:ascii="仿宋" w:hAnsi="仿宋" w:eastAsia="仿宋" w:cs="仿宋"/>
          <w:b w:val="0"/>
          <w:bCs/>
          <w:u w:val="single"/>
          <w:lang w:eastAsia="zh-CN"/>
        </w:rPr>
        <w:t>大屏显示系统建设项目</w:t>
      </w:r>
      <w:r>
        <w:rPr>
          <w:rFonts w:hint="eastAsia" w:ascii="Times New Roman" w:hAnsi="Times New Roman" w:eastAsia="仿宋" w:cs="仿宋"/>
        </w:rPr>
        <w:t>的比选，并证明提交的所有文件和说明是准确的和真实的。</w:t>
      </w:r>
    </w:p>
    <w:p w14:paraId="504C1942">
      <w:pPr>
        <w:spacing w:line="360" w:lineRule="auto"/>
        <w:ind w:firstLine="480" w:firstLineChars="200"/>
        <w:rPr>
          <w:rFonts w:hint="eastAsia" w:ascii="Times New Roman" w:hAnsi="Times New Roman" w:eastAsia="仿宋" w:cs="仿宋"/>
        </w:rPr>
      </w:pPr>
      <w:r>
        <w:rPr>
          <w:rFonts w:hint="eastAsia" w:ascii="Times New Roman" w:hAnsi="Times New Roman" w:eastAsia="仿宋" w:cs="仿宋"/>
        </w:rPr>
        <w:t>1．由市场监督管理机构签发的我方营业执照副本及复印件（加盖公章）一份以及其他参选资格文件。</w:t>
      </w:r>
    </w:p>
    <w:p w14:paraId="358FDC6C">
      <w:pPr>
        <w:spacing w:line="360" w:lineRule="auto"/>
        <w:ind w:firstLine="480" w:firstLineChars="200"/>
        <w:rPr>
          <w:rFonts w:hint="eastAsia" w:ascii="Times New Roman" w:hAnsi="Times New Roman" w:eastAsia="仿宋" w:cs="仿宋"/>
        </w:rPr>
      </w:pPr>
      <w:r>
        <w:rPr>
          <w:rFonts w:hint="eastAsia" w:ascii="Times New Roman" w:hAnsi="Times New Roman" w:eastAsia="仿宋" w:cs="仿宋"/>
        </w:rPr>
        <w:t>2．参选人确认资格文件中的说明是真实的、准确的。</w:t>
      </w:r>
    </w:p>
    <w:p w14:paraId="013E731D">
      <w:pPr>
        <w:spacing w:line="360" w:lineRule="auto"/>
        <w:rPr>
          <w:rFonts w:ascii="Times New Roman" w:hAnsi="Times New Roman" w:eastAsia="仿宋"/>
          <w:sz w:val="28"/>
          <w:szCs w:val="28"/>
        </w:rPr>
      </w:pPr>
    </w:p>
    <w:p w14:paraId="5473B510">
      <w:pPr>
        <w:spacing w:line="360" w:lineRule="auto"/>
        <w:rPr>
          <w:rFonts w:ascii="Times New Roman" w:hAnsi="Times New Roman" w:eastAsia="仿宋"/>
        </w:rPr>
      </w:pPr>
    </w:p>
    <w:p w14:paraId="722CCD8C">
      <w:pPr>
        <w:spacing w:line="360" w:lineRule="auto"/>
        <w:rPr>
          <w:rFonts w:ascii="Times New Roman" w:hAnsi="Times New Roman" w:eastAsia="仿宋"/>
        </w:rPr>
      </w:pPr>
    </w:p>
    <w:p w14:paraId="5731ECB1">
      <w:pPr>
        <w:spacing w:line="360" w:lineRule="auto"/>
        <w:rPr>
          <w:rFonts w:ascii="Times New Roman" w:hAnsi="Times New Roman" w:eastAsia="仿宋"/>
        </w:rPr>
      </w:pPr>
      <w:r>
        <w:rPr>
          <w:rFonts w:hint="eastAsia" w:ascii="Times New Roman" w:hAnsi="Times New Roman" w:eastAsia="仿宋"/>
        </w:rPr>
        <w:t>参选人名称和地址</w:t>
      </w:r>
      <w:r>
        <w:rPr>
          <w:rFonts w:hint="eastAsia" w:ascii="Times New Roman" w:hAnsi="Times New Roman" w:eastAsia="仿宋"/>
          <w:lang w:val="en-US" w:eastAsia="zh-CN"/>
        </w:rPr>
        <w:t xml:space="preserve"> </w:t>
      </w:r>
      <w:r>
        <w:rPr>
          <w:rFonts w:hint="eastAsia" w:ascii="Times New Roman" w:hAnsi="Times New Roman" w:eastAsia="仿宋"/>
        </w:rPr>
        <w:t>　</w:t>
      </w:r>
      <w:r>
        <w:rPr>
          <w:rFonts w:hint="eastAsia" w:ascii="Times New Roman" w:hAnsi="Times New Roman" w:eastAsia="仿宋"/>
          <w:lang w:val="en-US" w:eastAsia="zh-CN"/>
        </w:rPr>
        <w:t xml:space="preserve">                     </w:t>
      </w:r>
      <w:r>
        <w:rPr>
          <w:rFonts w:hint="eastAsia" w:ascii="Times New Roman" w:hAnsi="Times New Roman" w:eastAsia="仿宋"/>
        </w:rPr>
        <w:t>法定代表人或参选代表</w:t>
      </w:r>
    </w:p>
    <w:p w14:paraId="3195A6EA">
      <w:pPr>
        <w:spacing w:line="360" w:lineRule="auto"/>
        <w:rPr>
          <w:rFonts w:ascii="Times New Roman" w:hAnsi="Times New Roman" w:eastAsia="仿宋"/>
        </w:rPr>
      </w:pPr>
      <w:r>
        <w:rPr>
          <w:rFonts w:hint="eastAsia" w:ascii="Times New Roman" w:hAnsi="Times New Roman" w:eastAsia="仿宋"/>
          <w:lang w:val="en-US" w:eastAsia="zh-CN"/>
        </w:rPr>
        <w:t>参选人</w:t>
      </w:r>
      <w:r>
        <w:rPr>
          <w:rFonts w:hint="eastAsia" w:ascii="Times New Roman" w:hAnsi="Times New Roman" w:eastAsia="仿宋"/>
        </w:rPr>
        <w:t>名称（</w:t>
      </w:r>
      <w:r>
        <w:rPr>
          <w:rFonts w:hint="eastAsia" w:ascii="Times New Roman" w:hAnsi="Times New Roman" w:eastAsia="仿宋"/>
          <w:lang w:val="en-US" w:eastAsia="zh-CN"/>
        </w:rPr>
        <w:t>盖章</w:t>
      </w:r>
      <w:r>
        <w:rPr>
          <w:rFonts w:hint="eastAsia" w:ascii="Times New Roman" w:hAnsi="Times New Roman" w:eastAsia="仿宋"/>
        </w:rPr>
        <w:t>）：</w:t>
      </w:r>
      <w:r>
        <w:rPr>
          <w:rFonts w:hint="eastAsia" w:ascii="Times New Roman" w:hAnsi="Times New Roman" w:eastAsia="仿宋"/>
          <w:u w:val="single"/>
        </w:rPr>
        <w:t>　　　　　　　　　</w:t>
      </w:r>
      <w:r>
        <w:rPr>
          <w:rFonts w:hint="eastAsia" w:ascii="Times New Roman" w:hAnsi="Times New Roman" w:eastAsia="仿宋"/>
          <w:u w:val="single"/>
          <w:lang w:val="en-US" w:eastAsia="zh-CN"/>
        </w:rPr>
        <w:t xml:space="preserve">  </w:t>
      </w:r>
      <w:r>
        <w:rPr>
          <w:rFonts w:hint="eastAsia" w:ascii="Times New Roman" w:hAnsi="Times New Roman" w:eastAsia="仿宋"/>
        </w:rPr>
        <w:t>签字或盖章：</w:t>
      </w:r>
      <w:r>
        <w:rPr>
          <w:rFonts w:hint="eastAsia" w:ascii="Times New Roman" w:hAnsi="Times New Roman" w:eastAsia="仿宋"/>
          <w:u w:val="single"/>
        </w:rPr>
        <w:t>　　　　　　　　</w:t>
      </w:r>
    </w:p>
    <w:p w14:paraId="3F22063D">
      <w:pPr>
        <w:spacing w:line="360" w:lineRule="auto"/>
        <w:rPr>
          <w:rFonts w:hint="default" w:ascii="Times New Roman" w:hAnsi="Times New Roman" w:eastAsia="仿宋"/>
          <w:lang w:val="en-US" w:eastAsia="zh-CN"/>
        </w:rPr>
      </w:pPr>
      <w:r>
        <w:rPr>
          <w:rFonts w:hint="eastAsia" w:ascii="Times New Roman" w:hAnsi="Times New Roman" w:eastAsia="仿宋"/>
        </w:rPr>
        <w:t>地址：</w:t>
      </w:r>
      <w:r>
        <w:rPr>
          <w:rFonts w:hint="eastAsia" w:ascii="Times New Roman" w:hAnsi="Times New Roman" w:eastAsia="仿宋"/>
          <w:u w:val="single"/>
        </w:rPr>
        <w:t>　　　　　　　　　</w:t>
      </w:r>
      <w:r>
        <w:rPr>
          <w:rFonts w:hint="eastAsia" w:ascii="Times New Roman" w:hAnsi="Times New Roman" w:eastAsia="仿宋"/>
        </w:rPr>
        <w:t>　　　　　　　</w:t>
      </w:r>
      <w:r>
        <w:rPr>
          <w:rFonts w:hint="eastAsia" w:ascii="Times New Roman" w:hAnsi="Times New Roman" w:eastAsia="仿宋"/>
          <w:lang w:val="en-US" w:eastAsia="zh-CN"/>
        </w:rPr>
        <w:t xml:space="preserve">  </w:t>
      </w:r>
      <w:r>
        <w:rPr>
          <w:rFonts w:hint="eastAsia" w:ascii="Times New Roman" w:hAnsi="Times New Roman" w:eastAsia="仿宋"/>
        </w:rPr>
        <w:t>签章人姓名：</w:t>
      </w:r>
      <w:r>
        <w:rPr>
          <w:rFonts w:hint="eastAsia" w:ascii="Times New Roman" w:hAnsi="Times New Roman" w:eastAsia="仿宋"/>
          <w:u w:val="single"/>
          <w:lang w:val="en-US" w:eastAsia="zh-CN"/>
        </w:rPr>
        <w:t xml:space="preserve">             </w:t>
      </w:r>
    </w:p>
    <w:p w14:paraId="43915892">
      <w:pPr>
        <w:spacing w:line="360" w:lineRule="auto"/>
        <w:rPr>
          <w:rFonts w:ascii="Times New Roman" w:hAnsi="Times New Roman" w:eastAsia="仿宋"/>
          <w:u w:val="single"/>
        </w:rPr>
      </w:pPr>
      <w:r>
        <w:rPr>
          <w:rFonts w:hint="eastAsia" w:ascii="Times New Roman" w:hAnsi="Times New Roman" w:eastAsia="仿宋"/>
        </w:rPr>
        <w:t>传真：</w:t>
      </w:r>
      <w:r>
        <w:rPr>
          <w:rFonts w:hint="eastAsia" w:ascii="Times New Roman" w:hAnsi="Times New Roman" w:eastAsia="仿宋"/>
          <w:u w:val="single"/>
        </w:rPr>
        <w:t>　　　　　　　　　</w:t>
      </w:r>
      <w:r>
        <w:rPr>
          <w:rFonts w:hint="eastAsia" w:ascii="Times New Roman" w:hAnsi="Times New Roman" w:eastAsia="仿宋"/>
        </w:rPr>
        <w:t>　　　　　　　</w:t>
      </w:r>
      <w:r>
        <w:rPr>
          <w:rFonts w:hint="eastAsia" w:ascii="Times New Roman" w:hAnsi="Times New Roman" w:eastAsia="仿宋"/>
          <w:lang w:val="en-US" w:eastAsia="zh-CN"/>
        </w:rPr>
        <w:t xml:space="preserve">  </w:t>
      </w:r>
      <w:r>
        <w:rPr>
          <w:rFonts w:hint="eastAsia" w:ascii="Times New Roman" w:hAnsi="Times New Roman" w:eastAsia="仿宋"/>
        </w:rPr>
        <w:t>职务：</w:t>
      </w:r>
      <w:r>
        <w:rPr>
          <w:rFonts w:hint="eastAsia" w:ascii="Times New Roman" w:hAnsi="Times New Roman" w:eastAsia="仿宋"/>
          <w:u w:val="single"/>
        </w:rPr>
        <w:t>　　　　　　　　</w:t>
      </w:r>
    </w:p>
    <w:p w14:paraId="02B6B9C3">
      <w:pPr>
        <w:spacing w:line="360" w:lineRule="auto"/>
        <w:rPr>
          <w:rFonts w:ascii="Times New Roman" w:hAnsi="Times New Roman" w:eastAsia="仿宋"/>
          <w:u w:val="single"/>
        </w:rPr>
      </w:pPr>
      <w:r>
        <w:rPr>
          <w:rFonts w:hint="eastAsia" w:ascii="Times New Roman" w:hAnsi="Times New Roman" w:eastAsia="仿宋"/>
        </w:rPr>
        <w:t>邮编：</w:t>
      </w:r>
      <w:r>
        <w:rPr>
          <w:rFonts w:hint="eastAsia" w:ascii="Times New Roman" w:hAnsi="Times New Roman" w:eastAsia="仿宋"/>
          <w:u w:val="single"/>
        </w:rPr>
        <w:t>　　　　　　　　　</w:t>
      </w:r>
      <w:r>
        <w:rPr>
          <w:rFonts w:hint="eastAsia" w:ascii="Times New Roman" w:hAnsi="Times New Roman" w:eastAsia="仿宋"/>
        </w:rPr>
        <w:t>　　　　　　　</w:t>
      </w:r>
      <w:r>
        <w:rPr>
          <w:rFonts w:hint="eastAsia" w:ascii="Times New Roman" w:hAnsi="Times New Roman" w:eastAsia="仿宋"/>
          <w:lang w:val="en-US" w:eastAsia="zh-CN"/>
        </w:rPr>
        <w:t xml:space="preserve">  </w:t>
      </w:r>
      <w:r>
        <w:rPr>
          <w:rFonts w:hint="eastAsia" w:ascii="Times New Roman" w:hAnsi="Times New Roman" w:eastAsia="仿宋"/>
        </w:rPr>
        <w:t>电话：</w:t>
      </w:r>
      <w:r>
        <w:rPr>
          <w:rFonts w:hint="eastAsia" w:ascii="Times New Roman" w:hAnsi="Times New Roman" w:eastAsia="仿宋"/>
          <w:u w:val="single"/>
        </w:rPr>
        <w:t>　　　　　　　　</w:t>
      </w:r>
    </w:p>
    <w:p w14:paraId="6D817EB5">
      <w:pPr>
        <w:spacing w:line="360" w:lineRule="auto"/>
        <w:rPr>
          <w:rFonts w:ascii="Times New Roman" w:hAnsi="Times New Roman" w:eastAsia="仿宋"/>
          <w:u w:val="single"/>
        </w:rPr>
      </w:pPr>
    </w:p>
    <w:p w14:paraId="4ECC453B">
      <w:pPr>
        <w:rPr>
          <w:rFonts w:ascii="Times New Roman" w:hAnsi="Times New Roman" w:eastAsia="仿宋"/>
          <w:b/>
          <w:sz w:val="36"/>
          <w:szCs w:val="36"/>
        </w:rPr>
      </w:pPr>
      <w:r>
        <w:rPr>
          <w:rFonts w:ascii="Times New Roman" w:hAnsi="Times New Roman"/>
        </w:rPr>
        <w:br w:type="page"/>
      </w:r>
    </w:p>
    <w:p w14:paraId="6B683498">
      <w:pPr>
        <w:spacing w:line="360" w:lineRule="auto"/>
        <w:ind w:firstLine="435"/>
        <w:jc w:val="center"/>
        <w:rPr>
          <w:rFonts w:ascii="Times New Roman" w:hAnsi="Times New Roman" w:eastAsia="仿宋"/>
          <w:b/>
          <w:sz w:val="36"/>
          <w:szCs w:val="36"/>
        </w:rPr>
      </w:pPr>
      <w:r>
        <w:rPr>
          <w:rFonts w:hint="eastAsia" w:ascii="Times New Roman" w:hAnsi="Times New Roman" w:eastAsia="仿宋"/>
          <w:b/>
          <w:sz w:val="36"/>
          <w:szCs w:val="36"/>
        </w:rPr>
        <w:t>法人营业执照、税务登记证书、组织机构代码证</w:t>
      </w:r>
    </w:p>
    <w:p w14:paraId="7379987D">
      <w:pPr>
        <w:spacing w:line="360" w:lineRule="auto"/>
        <w:ind w:firstLine="435"/>
        <w:jc w:val="center"/>
        <w:rPr>
          <w:rFonts w:ascii="Times New Roman" w:hAnsi="Times New Roman" w:eastAsia="仿宋"/>
          <w:b/>
          <w:sz w:val="36"/>
          <w:szCs w:val="36"/>
        </w:rPr>
      </w:pPr>
    </w:p>
    <w:p w14:paraId="5103FB87">
      <w:pPr>
        <w:spacing w:line="360" w:lineRule="auto"/>
        <w:rPr>
          <w:rFonts w:ascii="Times New Roman" w:hAnsi="Times New Roman" w:eastAsia="仿宋"/>
        </w:rPr>
      </w:pPr>
    </w:p>
    <w:p w14:paraId="298FB25D">
      <w:pPr>
        <w:spacing w:line="360" w:lineRule="auto"/>
        <w:rPr>
          <w:rFonts w:ascii="Times New Roman" w:hAnsi="Times New Roman" w:eastAsia="仿宋"/>
        </w:rPr>
      </w:pPr>
    </w:p>
    <w:p w14:paraId="797CC2DC">
      <w:pPr>
        <w:spacing w:line="360" w:lineRule="auto"/>
        <w:rPr>
          <w:rFonts w:ascii="Times New Roman" w:hAnsi="Times New Roman" w:eastAsia="仿宋"/>
        </w:rPr>
      </w:pPr>
      <w:r>
        <w:rPr>
          <w:rFonts w:hint="eastAsia" w:ascii="Times New Roman" w:hAnsi="Times New Roman" w:eastAsia="仿宋"/>
          <w:u w:val="single"/>
        </w:rPr>
        <w:t>福建省能源石化信息科技有限责任公司</w:t>
      </w:r>
      <w:r>
        <w:rPr>
          <w:rFonts w:hint="eastAsia" w:ascii="Times New Roman" w:hAnsi="Times New Roman" w:eastAsia="仿宋"/>
        </w:rPr>
        <w:t>：</w:t>
      </w:r>
    </w:p>
    <w:p w14:paraId="60E21E8F">
      <w:pPr>
        <w:spacing w:line="360" w:lineRule="auto"/>
        <w:rPr>
          <w:rFonts w:ascii="Times New Roman" w:hAnsi="Times New Roman" w:eastAsia="仿宋"/>
        </w:rPr>
      </w:pPr>
    </w:p>
    <w:p w14:paraId="0064B202">
      <w:pPr>
        <w:spacing w:line="360" w:lineRule="auto"/>
        <w:rPr>
          <w:rFonts w:ascii="Times New Roman" w:hAnsi="Times New Roman" w:eastAsia="仿宋"/>
        </w:rPr>
      </w:pPr>
    </w:p>
    <w:p w14:paraId="618302E8">
      <w:pPr>
        <w:spacing w:line="360" w:lineRule="auto"/>
        <w:ind w:firstLine="552"/>
        <w:rPr>
          <w:rFonts w:ascii="Times New Roman" w:hAnsi="Times New Roman" w:eastAsia="仿宋"/>
        </w:rPr>
      </w:pPr>
      <w:r>
        <w:rPr>
          <w:rFonts w:hint="eastAsia" w:ascii="Times New Roman" w:hAnsi="Times New Roman" w:eastAsia="仿宋"/>
        </w:rPr>
        <w:t>现附上我方法人营业执照副本、税务登记证书、组织机构代码证复印件，该执照真实有效。（若已三证合一的可直接提交营业执照复印件）</w:t>
      </w:r>
    </w:p>
    <w:p w14:paraId="13040764">
      <w:pPr>
        <w:spacing w:line="360" w:lineRule="auto"/>
        <w:ind w:firstLine="552"/>
        <w:rPr>
          <w:rFonts w:ascii="Times New Roman" w:hAnsi="Times New Roman" w:eastAsia="仿宋"/>
        </w:rPr>
      </w:pPr>
    </w:p>
    <w:p w14:paraId="4CE9E57E">
      <w:pPr>
        <w:spacing w:line="360" w:lineRule="auto"/>
        <w:rPr>
          <w:rFonts w:ascii="Times New Roman" w:hAnsi="Times New Roman" w:eastAsia="仿宋"/>
        </w:rPr>
      </w:pPr>
    </w:p>
    <w:p w14:paraId="0EA6E37A">
      <w:pPr>
        <w:spacing w:line="360" w:lineRule="auto"/>
        <w:rPr>
          <w:rFonts w:ascii="Times New Roman" w:hAnsi="Times New Roman" w:eastAsia="仿宋"/>
          <w:szCs w:val="21"/>
        </w:rPr>
      </w:pPr>
      <w:r>
        <w:rPr>
          <w:rFonts w:hint="eastAsia" w:ascii="Times New Roman" w:hAnsi="Times New Roman" w:eastAsia="仿宋"/>
          <w:szCs w:val="21"/>
        </w:rPr>
        <w:t>（注：</w:t>
      </w:r>
      <w:r>
        <w:rPr>
          <w:rFonts w:hint="eastAsia" w:ascii="Times New Roman" w:hAnsi="Times New Roman" w:eastAsia="仿宋"/>
          <w:b/>
          <w:szCs w:val="21"/>
        </w:rPr>
        <w:t>复印件，由企业加盖公章并注明复印件与原件一致</w:t>
      </w:r>
      <w:r>
        <w:rPr>
          <w:rFonts w:hint="eastAsia" w:ascii="Times New Roman" w:hAnsi="Times New Roman" w:eastAsia="仿宋"/>
          <w:szCs w:val="21"/>
        </w:rPr>
        <w:t>。）</w:t>
      </w:r>
    </w:p>
    <w:p w14:paraId="1FCB0784">
      <w:pPr>
        <w:spacing w:line="360" w:lineRule="auto"/>
        <w:rPr>
          <w:rFonts w:ascii="Times New Roman" w:hAnsi="Times New Roman" w:eastAsia="仿宋"/>
        </w:rPr>
      </w:pPr>
    </w:p>
    <w:p w14:paraId="00C33DD7">
      <w:pPr>
        <w:spacing w:line="360" w:lineRule="auto"/>
        <w:rPr>
          <w:rFonts w:ascii="Times New Roman" w:hAnsi="Times New Roman" w:eastAsia="仿宋"/>
        </w:rPr>
      </w:pPr>
    </w:p>
    <w:p w14:paraId="769F5278">
      <w:pPr>
        <w:spacing w:line="360" w:lineRule="auto"/>
        <w:rPr>
          <w:rFonts w:ascii="Times New Roman" w:hAnsi="Times New Roman" w:eastAsia="仿宋"/>
        </w:rPr>
      </w:pPr>
    </w:p>
    <w:p w14:paraId="7E3AA04C">
      <w:pPr>
        <w:spacing w:line="360" w:lineRule="auto"/>
        <w:rPr>
          <w:rFonts w:ascii="Times New Roman" w:hAnsi="Times New Roman" w:eastAsia="仿宋"/>
        </w:rPr>
      </w:pPr>
    </w:p>
    <w:p w14:paraId="3A87D335">
      <w:pPr>
        <w:spacing w:line="360" w:lineRule="auto"/>
        <w:rPr>
          <w:rFonts w:ascii="Times New Roman" w:hAnsi="Times New Roman" w:eastAsia="仿宋"/>
        </w:rPr>
      </w:pPr>
    </w:p>
    <w:p w14:paraId="39A01ADD">
      <w:pPr>
        <w:spacing w:line="360" w:lineRule="auto"/>
        <w:rPr>
          <w:rFonts w:ascii="Times New Roman" w:hAnsi="Times New Roman" w:eastAsia="仿宋"/>
        </w:rPr>
      </w:pPr>
    </w:p>
    <w:p w14:paraId="5284354E">
      <w:pPr>
        <w:spacing w:line="360" w:lineRule="auto"/>
        <w:rPr>
          <w:rFonts w:ascii="Times New Roman" w:hAnsi="Times New Roman" w:eastAsia="仿宋"/>
        </w:rPr>
      </w:pPr>
      <w:r>
        <w:rPr>
          <w:rFonts w:hint="eastAsia" w:ascii="Times New Roman" w:hAnsi="Times New Roman" w:eastAsia="仿宋"/>
        </w:rPr>
        <w:t xml:space="preserve">                             参选人   </w:t>
      </w:r>
      <w:r>
        <w:rPr>
          <w:rFonts w:hint="eastAsia" w:ascii="Times New Roman" w:hAnsi="Times New Roman" w:eastAsia="仿宋"/>
          <w:u w:val="single"/>
        </w:rPr>
        <w:t xml:space="preserve">（全称并加盖公章）：      </w:t>
      </w:r>
    </w:p>
    <w:p w14:paraId="39B83948">
      <w:pPr>
        <w:spacing w:line="360" w:lineRule="auto"/>
        <w:rPr>
          <w:rFonts w:ascii="Times New Roman" w:hAnsi="Times New Roman" w:eastAsia="仿宋"/>
          <w:u w:val="single"/>
        </w:rPr>
      </w:pPr>
      <w:r>
        <w:rPr>
          <w:rFonts w:hint="eastAsia" w:ascii="Times New Roman" w:hAnsi="Times New Roman" w:eastAsia="仿宋"/>
        </w:rPr>
        <w:t xml:space="preserve">                             法定代表人或参选代表（签字或盖章）：</w:t>
      </w:r>
      <w:r>
        <w:rPr>
          <w:rFonts w:hint="eastAsia" w:ascii="Times New Roman" w:hAnsi="Times New Roman" w:eastAsia="仿宋"/>
          <w:u w:val="single"/>
        </w:rPr>
        <w:t xml:space="preserve">               </w:t>
      </w:r>
    </w:p>
    <w:p w14:paraId="7F759396">
      <w:pPr>
        <w:spacing w:line="360" w:lineRule="auto"/>
        <w:rPr>
          <w:rFonts w:ascii="Times New Roman" w:hAnsi="Times New Roman" w:eastAsia="仿宋"/>
          <w:u w:val="single"/>
        </w:rPr>
      </w:pPr>
      <w:r>
        <w:rPr>
          <w:rFonts w:hint="eastAsia" w:ascii="Times New Roman" w:hAnsi="Times New Roman" w:eastAsia="仿宋"/>
        </w:rPr>
        <w:t xml:space="preserve">                             日期：</w:t>
      </w:r>
      <w:r>
        <w:rPr>
          <w:rFonts w:hint="eastAsia" w:ascii="Times New Roman" w:hAnsi="Times New Roman" w:eastAsia="仿宋"/>
          <w:u w:val="single"/>
        </w:rPr>
        <w:t xml:space="preserve">                            </w:t>
      </w:r>
    </w:p>
    <w:p w14:paraId="27DCB0A9">
      <w:pPr>
        <w:pStyle w:val="16"/>
        <w:spacing w:before="0" w:after="0" w:line="560" w:lineRule="exact"/>
        <w:jc w:val="left"/>
        <w:rPr>
          <w:rFonts w:ascii="Times New Roman" w:hAnsi="Times New Roman" w:eastAsia="仿宋" w:cs="宋体"/>
          <w:b w:val="0"/>
          <w:szCs w:val="28"/>
        </w:rPr>
        <w:sectPr>
          <w:pgSz w:w="11906" w:h="16838"/>
          <w:pgMar w:top="1440" w:right="1800" w:bottom="1440" w:left="1800" w:header="851" w:footer="992" w:gutter="0"/>
          <w:pgNumType w:fmt="numberInDash"/>
          <w:cols w:space="720" w:num="1"/>
          <w:docGrid w:type="lines" w:linePitch="312" w:charSpace="0"/>
        </w:sectPr>
      </w:pPr>
    </w:p>
    <w:p w14:paraId="4F0711F8">
      <w:pPr>
        <w:autoSpaceDE w:val="0"/>
        <w:autoSpaceDN w:val="0"/>
        <w:snapToGrid w:val="0"/>
        <w:spacing w:before="312" w:beforeLines="100" w:line="360" w:lineRule="auto"/>
        <w:ind w:firstLine="361" w:firstLineChars="100"/>
        <w:jc w:val="center"/>
        <w:rPr>
          <w:rFonts w:ascii="Times New Roman" w:hAnsi="Times New Roman" w:eastAsia="仿宋"/>
          <w:b/>
          <w:sz w:val="36"/>
        </w:rPr>
      </w:pPr>
      <w:r>
        <w:rPr>
          <w:rFonts w:hint="eastAsia" w:ascii="Times New Roman" w:hAnsi="Times New Roman" w:eastAsia="仿宋"/>
          <w:b/>
          <w:sz w:val="36"/>
        </w:rPr>
        <w:t>参选人的资信证明</w:t>
      </w:r>
    </w:p>
    <w:p w14:paraId="61252CE0">
      <w:pPr>
        <w:rPr>
          <w:rFonts w:ascii="Times New Roman" w:hAnsi="Times New Roman"/>
        </w:rPr>
      </w:pPr>
      <w:r>
        <w:rPr>
          <w:rFonts w:ascii="Times New Roman" w:hAnsi="Times New Roman"/>
        </w:rPr>
        <w:t xml:space="preserve">  （参选人自行书写）</w:t>
      </w:r>
    </w:p>
    <w:p w14:paraId="391DD549">
      <w:pPr>
        <w:rPr>
          <w:rFonts w:ascii="Times New Roman" w:hAnsi="Times New Roman"/>
        </w:rPr>
      </w:pPr>
    </w:p>
    <w:p w14:paraId="1F70DB3B">
      <w:pPr>
        <w:jc w:val="center"/>
        <w:rPr>
          <w:rFonts w:hint="eastAsia" w:ascii="Times New Roman" w:hAnsi="Times New Roman"/>
          <w:b/>
          <w:color w:val="000000"/>
          <w:sz w:val="36"/>
        </w:rPr>
      </w:pPr>
      <w:r>
        <w:rPr>
          <w:rFonts w:ascii="Times New Roman" w:hAnsi="Times New Roman"/>
        </w:rPr>
        <w:br w:type="page"/>
      </w:r>
      <w:r>
        <w:rPr>
          <w:rFonts w:hint="eastAsia" w:ascii="Times New Roman" w:hAnsi="Times New Roman"/>
          <w:b/>
          <w:color w:val="000000"/>
          <w:sz w:val="36"/>
        </w:rPr>
        <w:t>没有重大违法记录的书面声明</w:t>
      </w:r>
    </w:p>
    <w:p w14:paraId="5D3C2BA5">
      <w:pPr>
        <w:pStyle w:val="8"/>
        <w:spacing w:line="460" w:lineRule="exact"/>
        <w:jc w:val="left"/>
        <w:rPr>
          <w:rFonts w:hint="eastAsia" w:ascii="Times New Roman" w:hAnsi="Times New Roman"/>
          <w:color w:val="000000"/>
          <w:sz w:val="24"/>
        </w:rPr>
      </w:pPr>
    </w:p>
    <w:p w14:paraId="105F8BCA">
      <w:pPr>
        <w:pStyle w:val="8"/>
        <w:spacing w:line="460" w:lineRule="exact"/>
        <w:jc w:val="left"/>
        <w:rPr>
          <w:rFonts w:hint="eastAsia" w:ascii="Times New Roman" w:hAnsi="Times New Roman"/>
          <w:color w:val="000000"/>
          <w:sz w:val="24"/>
        </w:rPr>
      </w:pPr>
    </w:p>
    <w:p w14:paraId="65014E20">
      <w:pPr>
        <w:pStyle w:val="5"/>
        <w:rPr>
          <w:rFonts w:hint="eastAsia" w:ascii="Times New Roman" w:hAnsi="Times New Roman"/>
          <w:color w:val="000000"/>
          <w:u w:val="single"/>
        </w:rPr>
      </w:pPr>
      <w:r>
        <w:rPr>
          <w:rFonts w:hint="eastAsia" w:ascii="Times New Roman" w:hAnsi="Times New Roman"/>
          <w:color w:val="000000"/>
          <w:u w:val="single"/>
        </w:rPr>
        <w:t>福建省能源石化信息科技有限责任公司：</w:t>
      </w:r>
    </w:p>
    <w:p w14:paraId="0475508F">
      <w:pPr>
        <w:pStyle w:val="5"/>
        <w:rPr>
          <w:rFonts w:hint="eastAsia" w:ascii="Times New Roman" w:hAnsi="Times New Roman"/>
          <w:color w:val="000000"/>
          <w:u w:val="single"/>
        </w:rPr>
      </w:pPr>
    </w:p>
    <w:p w14:paraId="4488A2F0">
      <w:pPr>
        <w:pStyle w:val="5"/>
        <w:spacing w:line="600" w:lineRule="exact"/>
        <w:rPr>
          <w:rFonts w:ascii="Times New Roman" w:hAnsi="Times New Roman"/>
          <w:color w:val="000000"/>
        </w:rPr>
      </w:pPr>
      <w:r>
        <w:rPr>
          <w:rFonts w:hint="eastAsia" w:ascii="Times New Roman" w:hAnsi="Times New Roman"/>
          <w:color w:val="000000"/>
        </w:rPr>
        <w:t>我公司在参加本项目比选活动前三年内在经营活动中没有重大违法记录，</w:t>
      </w:r>
      <w:r>
        <w:rPr>
          <w:rFonts w:hint="eastAsia" w:ascii="Times New Roman" w:hAnsi="Times New Roman"/>
          <w:color w:val="000000"/>
          <w:lang w:val="en-US" w:eastAsia="zh-CN"/>
        </w:rPr>
        <w:t>并附上“信用中国”查询结果截图，</w:t>
      </w:r>
      <w:r>
        <w:rPr>
          <w:rFonts w:hint="eastAsia" w:ascii="Times New Roman" w:hAnsi="Times New Roman"/>
          <w:color w:val="000000"/>
        </w:rPr>
        <w:t>特此声明。</w:t>
      </w:r>
    </w:p>
    <w:p w14:paraId="34E4F73B">
      <w:pPr>
        <w:rPr>
          <w:rFonts w:ascii="Times New Roman" w:hAnsi="Times New Roman"/>
        </w:rPr>
      </w:pPr>
    </w:p>
    <w:p w14:paraId="3C759DD0">
      <w:pPr>
        <w:rPr>
          <w:rFonts w:ascii="Times New Roman" w:hAnsi="Times New Roman"/>
        </w:rPr>
      </w:pPr>
    </w:p>
    <w:p w14:paraId="0337EDA9">
      <w:pPr>
        <w:spacing w:line="360" w:lineRule="auto"/>
        <w:rPr>
          <w:rFonts w:ascii="Times New Roman" w:hAnsi="Times New Roman" w:eastAsia="仿宋"/>
        </w:rPr>
      </w:pPr>
    </w:p>
    <w:p w14:paraId="0C968FC5">
      <w:pPr>
        <w:spacing w:line="360" w:lineRule="auto"/>
        <w:rPr>
          <w:rFonts w:ascii="Times New Roman" w:hAnsi="Times New Roman" w:eastAsia="仿宋"/>
        </w:rPr>
      </w:pPr>
      <w:r>
        <w:rPr>
          <w:rFonts w:hint="eastAsia" w:ascii="Times New Roman" w:hAnsi="Times New Roman" w:eastAsia="仿宋"/>
        </w:rPr>
        <w:t xml:space="preserve">                             参选人   </w:t>
      </w:r>
      <w:r>
        <w:rPr>
          <w:rFonts w:hint="eastAsia" w:ascii="Times New Roman" w:hAnsi="Times New Roman" w:eastAsia="仿宋"/>
          <w:u w:val="single"/>
        </w:rPr>
        <w:t xml:space="preserve">（全称并加盖公章）：      </w:t>
      </w:r>
    </w:p>
    <w:p w14:paraId="436C7C76">
      <w:pPr>
        <w:spacing w:line="360" w:lineRule="auto"/>
        <w:rPr>
          <w:rFonts w:ascii="Times New Roman" w:hAnsi="Times New Roman" w:eastAsia="仿宋"/>
          <w:u w:val="single"/>
        </w:rPr>
      </w:pPr>
      <w:r>
        <w:rPr>
          <w:rFonts w:hint="eastAsia" w:ascii="Times New Roman" w:hAnsi="Times New Roman" w:eastAsia="仿宋"/>
        </w:rPr>
        <w:t xml:space="preserve">                             法定代表人或参选代表（签字或盖章）： </w:t>
      </w:r>
      <w:r>
        <w:rPr>
          <w:rFonts w:hint="eastAsia" w:ascii="Times New Roman" w:hAnsi="Times New Roman" w:eastAsia="仿宋"/>
          <w:u w:val="single"/>
        </w:rPr>
        <w:t xml:space="preserve">              </w:t>
      </w:r>
    </w:p>
    <w:p w14:paraId="76314421">
      <w:pPr>
        <w:spacing w:line="360" w:lineRule="auto"/>
        <w:rPr>
          <w:rFonts w:ascii="Times New Roman" w:hAnsi="Times New Roman" w:eastAsia="仿宋"/>
          <w:u w:val="single"/>
        </w:rPr>
      </w:pPr>
      <w:r>
        <w:rPr>
          <w:rFonts w:hint="eastAsia" w:ascii="Times New Roman" w:hAnsi="Times New Roman" w:eastAsia="仿宋"/>
        </w:rPr>
        <w:t xml:space="preserve">                             日期：</w:t>
      </w:r>
      <w:r>
        <w:rPr>
          <w:rFonts w:hint="eastAsia" w:ascii="Times New Roman" w:hAnsi="Times New Roman" w:eastAsia="仿宋"/>
          <w:u w:val="single"/>
        </w:rPr>
        <w:t xml:space="preserve">                            </w:t>
      </w:r>
    </w:p>
    <w:p w14:paraId="0E70278E">
      <w:pPr>
        <w:jc w:val="center"/>
        <w:rPr>
          <w:rFonts w:ascii="Times New Roman" w:hAnsi="Times New Roman"/>
          <w:color w:val="000000"/>
        </w:rPr>
      </w:pPr>
      <w:r>
        <w:rPr>
          <w:rFonts w:ascii="Times New Roman" w:hAnsi="Times New Roman"/>
        </w:rPr>
        <w:br w:type="page"/>
      </w:r>
      <w:r>
        <w:rPr>
          <w:rFonts w:ascii="Times New Roman" w:hAnsi="Times New Roman"/>
          <w:color w:val="000000"/>
        </w:rPr>
        <w:t xml:space="preserve"> </w:t>
      </w:r>
    </w:p>
    <w:p w14:paraId="4083CCC5">
      <w:pPr>
        <w:jc w:val="center"/>
        <w:rPr>
          <w:rFonts w:hint="eastAsia" w:ascii="Times New Roman" w:hAnsi="Times New Roman"/>
          <w:b/>
          <w:color w:val="000000"/>
          <w:sz w:val="32"/>
        </w:rPr>
      </w:pPr>
      <w:r>
        <w:rPr>
          <w:rFonts w:hint="eastAsia" w:ascii="Times New Roman" w:hAnsi="Times New Roman" w:eastAsia="仿宋"/>
          <w:b/>
          <w:color w:val="000000"/>
          <w:sz w:val="36"/>
        </w:rPr>
        <w:t>其它资格证明文件</w:t>
      </w:r>
    </w:p>
    <w:p w14:paraId="5DD0CC03">
      <w:pPr>
        <w:spacing w:line="420" w:lineRule="exact"/>
        <w:ind w:firstLine="480"/>
        <w:rPr>
          <w:rFonts w:hint="eastAsia" w:ascii="Times New Roman" w:hAnsi="Times New Roman"/>
          <w:color w:val="000000"/>
        </w:rPr>
      </w:pPr>
    </w:p>
    <w:p w14:paraId="76BA87DA">
      <w:pPr>
        <w:spacing w:line="380" w:lineRule="exact"/>
        <w:ind w:firstLine="480" w:firstLineChars="200"/>
        <w:rPr>
          <w:rFonts w:hint="eastAsia" w:ascii="Times New Roman" w:hAnsi="Times New Roman" w:eastAsia="仿宋" w:cs="仿宋"/>
          <w:color w:val="000000"/>
        </w:rPr>
      </w:pPr>
      <w:r>
        <w:rPr>
          <w:rFonts w:hint="eastAsia" w:ascii="Times New Roman" w:hAnsi="Times New Roman" w:eastAsia="仿宋" w:cs="仿宋"/>
          <w:color w:val="000000"/>
        </w:rPr>
        <w:t>参选人须根据比选文件中参选人需列的其它相关证明资料（复印件则均需加盖参选人单位公章)</w:t>
      </w:r>
    </w:p>
    <w:p w14:paraId="3230A6ED">
      <w:pPr>
        <w:pStyle w:val="7"/>
        <w:rPr>
          <w:rFonts w:ascii="Times New Roman" w:hAnsi="Times New Roman" w:eastAsia="仿宋" w:cs="仿宋"/>
          <w:color w:val="000000"/>
        </w:rPr>
      </w:pPr>
    </w:p>
    <w:p w14:paraId="6A35EBED">
      <w:pPr>
        <w:outlineLvl w:val="0"/>
        <w:rPr>
          <w:rFonts w:ascii="Times New Roman" w:hAnsi="Times New Roman" w:eastAsia="仿宋"/>
          <w:b/>
          <w:sz w:val="28"/>
          <w:szCs w:val="28"/>
        </w:rPr>
      </w:pPr>
      <w:r>
        <w:rPr>
          <w:rFonts w:hint="eastAsia" w:ascii="Times New Roman" w:hAnsi="Times New Roman" w:eastAsia="仿宋" w:cs="仿宋"/>
          <w:color w:val="000000"/>
        </w:rPr>
        <w:br w:type="page"/>
      </w:r>
      <w:bookmarkStart w:id="432" w:name="_Toc32379"/>
      <w:bookmarkStart w:id="433" w:name="_Toc24467"/>
      <w:bookmarkStart w:id="434" w:name="_Toc22169"/>
      <w:bookmarkStart w:id="435" w:name="_Toc18580"/>
      <w:bookmarkStart w:id="436" w:name="_Toc475"/>
      <w:bookmarkStart w:id="437" w:name="_Toc19121"/>
      <w:bookmarkStart w:id="438" w:name="_Toc10207"/>
      <w:bookmarkStart w:id="439" w:name="_Toc25268"/>
      <w:bookmarkStart w:id="440" w:name="_Toc22705"/>
      <w:bookmarkStart w:id="441" w:name="_Toc10080"/>
      <w:bookmarkStart w:id="442" w:name="_Toc91421127"/>
      <w:bookmarkStart w:id="443" w:name="_Toc28879"/>
      <w:bookmarkStart w:id="444" w:name="_Toc10277"/>
      <w:r>
        <w:rPr>
          <w:rFonts w:hint="eastAsia" w:ascii="Times New Roman" w:hAnsi="Times New Roman" w:eastAsia="仿宋" w:cs="Arial"/>
          <w:b/>
          <w:bCs/>
          <w:color w:val="000000"/>
          <w:kern w:val="2"/>
          <w:sz w:val="44"/>
          <w:szCs w:val="44"/>
        </w:rPr>
        <w:t>附件</w:t>
      </w:r>
      <w:bookmarkEnd w:id="432"/>
      <w:r>
        <w:rPr>
          <w:rFonts w:hint="eastAsia" w:ascii="Times New Roman" w:hAnsi="Times New Roman" w:eastAsia="仿宋" w:cs="Arial"/>
          <w:b/>
          <w:bCs/>
          <w:color w:val="000000"/>
          <w:kern w:val="2"/>
          <w:sz w:val="44"/>
          <w:szCs w:val="44"/>
        </w:rPr>
        <w:t>八  技术方案</w:t>
      </w:r>
      <w:bookmarkEnd w:id="433"/>
      <w:bookmarkEnd w:id="434"/>
      <w:bookmarkEnd w:id="435"/>
      <w:bookmarkEnd w:id="436"/>
      <w:bookmarkEnd w:id="437"/>
      <w:bookmarkEnd w:id="438"/>
      <w:bookmarkEnd w:id="439"/>
      <w:bookmarkEnd w:id="440"/>
      <w:bookmarkEnd w:id="441"/>
      <w:bookmarkEnd w:id="442"/>
      <w:bookmarkEnd w:id="443"/>
      <w:bookmarkEnd w:id="444"/>
      <w:r>
        <w:rPr>
          <w:rFonts w:hint="eastAsia" w:ascii="Times New Roman" w:hAnsi="Times New Roman" w:eastAsia="仿宋" w:cs="Arial"/>
          <w:b/>
          <w:bCs/>
          <w:color w:val="000000"/>
          <w:kern w:val="2"/>
          <w:sz w:val="44"/>
          <w:szCs w:val="44"/>
        </w:rPr>
        <w:t xml:space="preserve"> </w:t>
      </w:r>
      <w:r>
        <w:rPr>
          <w:rFonts w:hint="eastAsia" w:ascii="Times New Roman" w:hAnsi="Times New Roman" w:eastAsia="仿宋"/>
          <w:sz w:val="44"/>
          <w:szCs w:val="44"/>
        </w:rPr>
        <w:t xml:space="preserve">  </w:t>
      </w:r>
      <w:r>
        <w:rPr>
          <w:rFonts w:hint="eastAsia" w:ascii="Times New Roman" w:hAnsi="Times New Roman" w:eastAsia="仿宋"/>
          <w:b/>
          <w:sz w:val="28"/>
          <w:szCs w:val="28"/>
        </w:rPr>
        <w:t xml:space="preserve">        </w:t>
      </w:r>
    </w:p>
    <w:p w14:paraId="4C2D5964">
      <w:pPr>
        <w:spacing w:line="360" w:lineRule="auto"/>
        <w:jc w:val="center"/>
        <w:rPr>
          <w:rFonts w:ascii="Times New Roman" w:hAnsi="Times New Roman" w:eastAsia="仿宋"/>
          <w:b/>
          <w:sz w:val="36"/>
          <w:szCs w:val="36"/>
        </w:rPr>
      </w:pPr>
    </w:p>
    <w:p w14:paraId="6B0E9258">
      <w:pPr>
        <w:spacing w:line="360" w:lineRule="auto"/>
        <w:jc w:val="center"/>
        <w:rPr>
          <w:rFonts w:hint="eastAsia" w:ascii="Times New Roman" w:hAnsi="Times New Roman" w:eastAsia="仿宋"/>
          <w:b/>
          <w:sz w:val="36"/>
          <w:szCs w:val="36"/>
        </w:rPr>
      </w:pPr>
      <w:r>
        <w:rPr>
          <w:rFonts w:hint="eastAsia" w:ascii="Times New Roman" w:hAnsi="Times New Roman" w:eastAsia="仿宋"/>
          <w:b/>
          <w:sz w:val="36"/>
          <w:szCs w:val="36"/>
        </w:rPr>
        <w:t xml:space="preserve"> 技术方案</w:t>
      </w:r>
    </w:p>
    <w:p w14:paraId="7DE53886">
      <w:pPr>
        <w:autoSpaceDE w:val="0"/>
        <w:autoSpaceDN w:val="0"/>
        <w:snapToGrid w:val="0"/>
        <w:spacing w:before="312" w:beforeLines="100" w:line="360" w:lineRule="auto"/>
        <w:rPr>
          <w:rFonts w:hint="eastAsia" w:ascii="Times New Roman" w:hAnsi="Times New Roman" w:eastAsia="仿宋"/>
          <w:sz w:val="28"/>
          <w:szCs w:val="28"/>
        </w:rPr>
      </w:pPr>
    </w:p>
    <w:p w14:paraId="7184DE1F">
      <w:pPr>
        <w:autoSpaceDE w:val="0"/>
        <w:autoSpaceDN w:val="0"/>
        <w:snapToGrid w:val="0"/>
        <w:spacing w:before="312" w:beforeLines="100" w:line="360" w:lineRule="auto"/>
        <w:rPr>
          <w:rFonts w:hint="eastAsia"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Times New Roman" w:eastAsia="仿宋"/>
          <w:sz w:val="28"/>
          <w:szCs w:val="28"/>
          <w:highlight w:val="none"/>
          <w:lang w:val="en-US" w:eastAsia="zh-CN"/>
        </w:rPr>
        <w:t>如有要求提供技术方案，</w:t>
      </w:r>
      <w:r>
        <w:rPr>
          <w:rFonts w:hint="eastAsia" w:ascii="Times New Roman" w:hAnsi="Times New Roman" w:eastAsia="仿宋"/>
          <w:sz w:val="28"/>
          <w:szCs w:val="28"/>
        </w:rPr>
        <w:t>参选人自行书写）</w:t>
      </w:r>
    </w:p>
    <w:p w14:paraId="040EC938">
      <w:pPr>
        <w:autoSpaceDE w:val="0"/>
        <w:autoSpaceDN w:val="0"/>
        <w:snapToGrid w:val="0"/>
        <w:spacing w:before="312" w:beforeLines="100" w:line="360" w:lineRule="auto"/>
        <w:rPr>
          <w:rFonts w:hint="eastAsia" w:ascii="Times New Roman" w:hAnsi="Times New Roman" w:eastAsia="仿宋"/>
          <w:sz w:val="28"/>
          <w:szCs w:val="28"/>
        </w:rPr>
      </w:pPr>
      <w:r>
        <w:rPr>
          <w:rFonts w:hint="eastAsia" w:ascii="Times New Roman" w:hAnsi="Times New Roman" w:eastAsia="仿宋"/>
          <w:sz w:val="28"/>
          <w:szCs w:val="28"/>
        </w:rPr>
        <w:t>说明：</w:t>
      </w:r>
    </w:p>
    <w:p w14:paraId="4F583753">
      <w:pPr>
        <w:autoSpaceDE w:val="0"/>
        <w:autoSpaceDN w:val="0"/>
        <w:snapToGrid w:val="0"/>
        <w:spacing w:line="360" w:lineRule="auto"/>
        <w:ind w:firstLine="560" w:firstLineChars="200"/>
        <w:rPr>
          <w:rFonts w:hint="eastAsia" w:ascii="Times New Roman" w:hAnsi="Times New Roman" w:eastAsia="仿宋"/>
        </w:rPr>
      </w:pPr>
      <w:r>
        <w:rPr>
          <w:rFonts w:hint="eastAsia" w:ascii="Times New Roman" w:hAnsi="Times New Roman" w:eastAsia="仿宋"/>
          <w:sz w:val="28"/>
          <w:szCs w:val="28"/>
        </w:rPr>
        <w:t>参选人按照比选文件“第五章评比规则”的技术项评分规则自行组织编写，未提供格式的内容，格式自拟。但必须针对参选文件中的内容及要求，围绕比选文件中项目编写。</w:t>
      </w:r>
    </w:p>
    <w:p w14:paraId="79301CCB">
      <w:pPr>
        <w:pStyle w:val="16"/>
        <w:spacing w:before="0" w:after="0" w:line="560" w:lineRule="exact"/>
        <w:jc w:val="left"/>
        <w:rPr>
          <w:rFonts w:ascii="Times New Roman" w:hAnsi="Times New Roman" w:eastAsia="仿宋"/>
          <w:sz w:val="44"/>
          <w:szCs w:val="44"/>
        </w:rPr>
      </w:pPr>
      <w:r>
        <w:rPr>
          <w:rFonts w:hint="eastAsia" w:ascii="Times New Roman" w:hAnsi="Times New Roman" w:eastAsia="仿宋" w:cs="仿宋"/>
          <w:sz w:val="44"/>
          <w:szCs w:val="44"/>
        </w:rPr>
        <w:br w:type="page"/>
      </w:r>
      <w:bookmarkStart w:id="445" w:name="_Toc10031"/>
      <w:bookmarkStart w:id="446" w:name="_Toc25758"/>
      <w:bookmarkStart w:id="447" w:name="_Toc32158"/>
      <w:bookmarkStart w:id="448" w:name="_Toc26222"/>
      <w:bookmarkStart w:id="449" w:name="_Toc21895"/>
      <w:bookmarkStart w:id="450" w:name="_Toc22270"/>
      <w:bookmarkStart w:id="451" w:name="_Toc16214"/>
      <w:bookmarkStart w:id="452" w:name="_Toc21623"/>
      <w:bookmarkStart w:id="453" w:name="_Toc21522"/>
      <w:bookmarkStart w:id="454" w:name="_Toc19124"/>
      <w:bookmarkStart w:id="455" w:name="_Toc91421123"/>
      <w:bookmarkStart w:id="456" w:name="_Toc28526"/>
      <w:bookmarkStart w:id="457" w:name="_Toc2365"/>
      <w:r>
        <w:rPr>
          <w:rFonts w:hint="eastAsia" w:ascii="Times New Roman" w:hAnsi="Times New Roman" w:eastAsia="仿宋"/>
          <w:sz w:val="44"/>
          <w:szCs w:val="44"/>
        </w:rPr>
        <w:t>附件</w:t>
      </w:r>
      <w:bookmarkEnd w:id="445"/>
      <w:r>
        <w:rPr>
          <w:rFonts w:hint="eastAsia" w:ascii="Times New Roman" w:hAnsi="Times New Roman" w:eastAsia="仿宋"/>
          <w:sz w:val="44"/>
          <w:szCs w:val="44"/>
        </w:rPr>
        <w:t xml:space="preserve">九 </w:t>
      </w:r>
      <w:r>
        <w:rPr>
          <w:rFonts w:ascii="Times New Roman" w:hAnsi="Times New Roman" w:eastAsia="仿宋"/>
          <w:sz w:val="44"/>
          <w:szCs w:val="44"/>
        </w:rPr>
        <w:t xml:space="preserve"> </w:t>
      </w:r>
      <w:r>
        <w:rPr>
          <w:rFonts w:hint="eastAsia" w:ascii="Times New Roman" w:hAnsi="Times New Roman" w:eastAsia="仿宋"/>
          <w:sz w:val="44"/>
          <w:szCs w:val="44"/>
        </w:rPr>
        <w:t>比选文件要求响应偏离表</w:t>
      </w:r>
      <w:bookmarkEnd w:id="446"/>
      <w:bookmarkEnd w:id="447"/>
      <w:bookmarkEnd w:id="448"/>
      <w:bookmarkEnd w:id="449"/>
      <w:bookmarkEnd w:id="450"/>
      <w:bookmarkEnd w:id="451"/>
      <w:bookmarkEnd w:id="452"/>
      <w:bookmarkEnd w:id="453"/>
      <w:bookmarkEnd w:id="454"/>
      <w:bookmarkEnd w:id="455"/>
      <w:bookmarkEnd w:id="456"/>
      <w:bookmarkEnd w:id="457"/>
    </w:p>
    <w:p w14:paraId="0F68E071">
      <w:pPr>
        <w:pStyle w:val="14"/>
        <w:rPr>
          <w:rFonts w:ascii="Times New Roman" w:hAnsi="Times New Roman"/>
        </w:rPr>
      </w:pPr>
    </w:p>
    <w:p w14:paraId="06CF2DF6">
      <w:pPr>
        <w:spacing w:line="360" w:lineRule="auto"/>
        <w:ind w:firstLine="480"/>
        <w:jc w:val="center"/>
        <w:rPr>
          <w:rFonts w:ascii="Times New Roman" w:hAnsi="Times New Roman" w:eastAsia="仿宋"/>
          <w:b/>
          <w:sz w:val="36"/>
          <w:szCs w:val="36"/>
        </w:rPr>
      </w:pPr>
      <w:r>
        <w:rPr>
          <w:rFonts w:hint="eastAsia" w:ascii="Times New Roman" w:hAnsi="Times New Roman" w:eastAsia="仿宋"/>
          <w:b/>
          <w:sz w:val="36"/>
          <w:szCs w:val="36"/>
        </w:rPr>
        <w:t>比选文件要求响应偏离表</w:t>
      </w:r>
    </w:p>
    <w:p w14:paraId="4AF86074">
      <w:pPr>
        <w:spacing w:line="360" w:lineRule="auto"/>
        <w:jc w:val="center"/>
        <w:rPr>
          <w:rFonts w:ascii="Times New Roman" w:hAnsi="Times New Roman" w:eastAsia="仿宋"/>
          <w:b/>
        </w:rPr>
      </w:pPr>
    </w:p>
    <w:p w14:paraId="24580A41">
      <w:pPr>
        <w:spacing w:before="120" w:after="120" w:line="360" w:lineRule="auto"/>
        <w:rPr>
          <w:rFonts w:hint="eastAsia" w:ascii="Times New Roman" w:hAnsi="Times New Roman" w:eastAsia="仿宋"/>
        </w:rPr>
      </w:pPr>
      <w:r>
        <w:rPr>
          <w:rFonts w:hint="eastAsia" w:ascii="Times New Roman" w:hAnsi="Times New Roman" w:eastAsia="仿宋"/>
        </w:rPr>
        <w:t>参选项目：</w:t>
      </w:r>
      <w:r>
        <w:rPr>
          <w:rFonts w:hint="eastAsia" w:ascii="Times New Roman" w:hAnsi="Times New Roman" w:eastAsia="仿宋" w:cs="宋体"/>
          <w:lang w:eastAsia="zh-CN"/>
        </w:rPr>
        <w:t>大屏显示系统建设项目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517"/>
        <w:gridCol w:w="2072"/>
        <w:gridCol w:w="2247"/>
        <w:gridCol w:w="2247"/>
      </w:tblGrid>
      <w:tr w14:paraId="13DD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14:paraId="0F3D8C4C">
            <w:pPr>
              <w:spacing w:line="380" w:lineRule="exact"/>
              <w:jc w:val="center"/>
              <w:rPr>
                <w:rFonts w:hint="eastAsia" w:ascii="Times New Roman" w:hAnsi="Times New Roman" w:eastAsia="仿宋" w:cs="仿宋"/>
                <w:color w:val="000000"/>
              </w:rPr>
            </w:pPr>
            <w:r>
              <w:rPr>
                <w:rFonts w:hint="eastAsia" w:ascii="Times New Roman" w:hAnsi="Times New Roman" w:eastAsia="仿宋" w:cs="仿宋"/>
                <w:color w:val="000000"/>
              </w:rPr>
              <w:t>序号</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7E97EF61">
            <w:pPr>
              <w:spacing w:line="380" w:lineRule="exact"/>
              <w:jc w:val="center"/>
              <w:rPr>
                <w:rFonts w:hint="eastAsia" w:ascii="Times New Roman" w:hAnsi="Times New Roman" w:eastAsia="仿宋" w:cs="仿宋"/>
                <w:color w:val="000000"/>
              </w:rPr>
            </w:pPr>
            <w:r>
              <w:rPr>
                <w:rFonts w:hint="eastAsia" w:ascii="Times New Roman" w:hAnsi="Times New Roman" w:eastAsia="仿宋" w:cs="仿宋"/>
                <w:color w:val="000000"/>
              </w:rPr>
              <w:t>规格条目号</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09BCADBB">
            <w:pPr>
              <w:spacing w:line="380" w:lineRule="exact"/>
              <w:jc w:val="center"/>
              <w:rPr>
                <w:rFonts w:hint="eastAsia" w:ascii="Times New Roman" w:hAnsi="Times New Roman" w:eastAsia="仿宋" w:cs="仿宋"/>
                <w:color w:val="000000"/>
              </w:rPr>
            </w:pPr>
            <w:r>
              <w:rPr>
                <w:rFonts w:hint="eastAsia" w:ascii="Times New Roman" w:hAnsi="Times New Roman" w:eastAsia="仿宋" w:cs="仿宋"/>
                <w:color w:val="000000"/>
              </w:rPr>
              <w:t>比选文件要求</w:t>
            </w:r>
          </w:p>
        </w:tc>
        <w:tc>
          <w:tcPr>
            <w:tcW w:w="2247" w:type="dxa"/>
            <w:tcBorders>
              <w:top w:val="single" w:color="auto" w:sz="4" w:space="0"/>
              <w:left w:val="single" w:color="auto" w:sz="4" w:space="0"/>
              <w:bottom w:val="single" w:color="auto" w:sz="4" w:space="0"/>
              <w:right w:val="single" w:color="auto" w:sz="4" w:space="0"/>
            </w:tcBorders>
            <w:noWrap w:val="0"/>
            <w:vAlign w:val="center"/>
          </w:tcPr>
          <w:p w14:paraId="0F2FF432">
            <w:pPr>
              <w:spacing w:line="380" w:lineRule="exact"/>
              <w:jc w:val="center"/>
              <w:rPr>
                <w:rFonts w:hint="eastAsia" w:ascii="Times New Roman" w:hAnsi="Times New Roman" w:eastAsia="仿宋" w:cs="仿宋"/>
                <w:color w:val="000000"/>
              </w:rPr>
            </w:pPr>
            <w:r>
              <w:rPr>
                <w:rFonts w:hint="eastAsia" w:ascii="Times New Roman" w:hAnsi="Times New Roman" w:eastAsia="仿宋" w:cs="仿宋"/>
                <w:color w:val="000000"/>
              </w:rPr>
              <w:t>参选响应承诺</w:t>
            </w:r>
          </w:p>
        </w:tc>
        <w:tc>
          <w:tcPr>
            <w:tcW w:w="2247" w:type="dxa"/>
            <w:tcBorders>
              <w:top w:val="single" w:color="auto" w:sz="4" w:space="0"/>
              <w:left w:val="single" w:color="auto" w:sz="4" w:space="0"/>
              <w:bottom w:val="single" w:color="auto" w:sz="4" w:space="0"/>
              <w:right w:val="single" w:color="auto" w:sz="4" w:space="0"/>
            </w:tcBorders>
            <w:noWrap w:val="0"/>
            <w:vAlign w:val="center"/>
          </w:tcPr>
          <w:p w14:paraId="151ECB9A">
            <w:pPr>
              <w:spacing w:line="380" w:lineRule="exact"/>
              <w:jc w:val="center"/>
              <w:rPr>
                <w:rFonts w:hint="eastAsia" w:ascii="Times New Roman" w:hAnsi="Times New Roman" w:eastAsia="仿宋" w:cs="仿宋"/>
                <w:color w:val="000000"/>
              </w:rPr>
            </w:pPr>
            <w:r>
              <w:rPr>
                <w:rFonts w:hint="eastAsia" w:ascii="Times New Roman" w:hAnsi="Times New Roman" w:eastAsia="仿宋" w:cs="仿宋"/>
                <w:color w:val="000000"/>
              </w:rPr>
              <w:t>偏离说明</w:t>
            </w:r>
          </w:p>
        </w:tc>
      </w:tr>
      <w:tr w14:paraId="1679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top"/>
          </w:tcPr>
          <w:p w14:paraId="185903CC">
            <w:pPr>
              <w:spacing w:line="380" w:lineRule="exact"/>
              <w:rPr>
                <w:rFonts w:ascii="Times New Roman" w:hAnsi="Times New Roman"/>
                <w:color w:val="000000"/>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09F2E695">
            <w:pPr>
              <w:spacing w:line="380" w:lineRule="exact"/>
              <w:rPr>
                <w:rFonts w:ascii="Times New Roman" w:hAnsi="Times New Roman"/>
                <w:color w:val="000000"/>
              </w:rPr>
            </w:pPr>
          </w:p>
        </w:tc>
        <w:tc>
          <w:tcPr>
            <w:tcW w:w="2072" w:type="dxa"/>
            <w:tcBorders>
              <w:top w:val="single" w:color="auto" w:sz="4" w:space="0"/>
              <w:left w:val="single" w:color="auto" w:sz="4" w:space="0"/>
              <w:bottom w:val="single" w:color="auto" w:sz="4" w:space="0"/>
              <w:right w:val="single" w:color="auto" w:sz="4" w:space="0"/>
            </w:tcBorders>
            <w:noWrap w:val="0"/>
            <w:vAlign w:val="top"/>
          </w:tcPr>
          <w:p w14:paraId="713B526E">
            <w:pPr>
              <w:spacing w:line="380" w:lineRule="exact"/>
              <w:rPr>
                <w:rFonts w:ascii="Times New Roman" w:hAnsi="Times New Roman"/>
                <w:color w:val="000000"/>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16C09EA6">
            <w:pPr>
              <w:spacing w:line="380" w:lineRule="exact"/>
              <w:rPr>
                <w:rFonts w:ascii="Times New Roman" w:hAnsi="Times New Roman"/>
                <w:color w:val="000000"/>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1A1516B9">
            <w:pPr>
              <w:spacing w:line="380" w:lineRule="exact"/>
              <w:rPr>
                <w:rFonts w:ascii="Times New Roman" w:hAnsi="Times New Roman"/>
                <w:color w:val="000000"/>
              </w:rPr>
            </w:pPr>
          </w:p>
        </w:tc>
      </w:tr>
      <w:tr w14:paraId="1E8E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top"/>
          </w:tcPr>
          <w:p w14:paraId="35D2D976">
            <w:pPr>
              <w:spacing w:line="380" w:lineRule="exact"/>
              <w:rPr>
                <w:rFonts w:ascii="Times New Roman" w:hAnsi="Times New Roman"/>
                <w:color w:val="000000"/>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5A7216A2">
            <w:pPr>
              <w:spacing w:line="380" w:lineRule="exact"/>
              <w:rPr>
                <w:rFonts w:ascii="Times New Roman" w:hAnsi="Times New Roman"/>
                <w:color w:val="000000"/>
              </w:rPr>
            </w:pPr>
          </w:p>
        </w:tc>
        <w:tc>
          <w:tcPr>
            <w:tcW w:w="2072" w:type="dxa"/>
            <w:tcBorders>
              <w:top w:val="single" w:color="auto" w:sz="4" w:space="0"/>
              <w:left w:val="single" w:color="auto" w:sz="4" w:space="0"/>
              <w:bottom w:val="single" w:color="auto" w:sz="4" w:space="0"/>
              <w:right w:val="single" w:color="auto" w:sz="4" w:space="0"/>
            </w:tcBorders>
            <w:noWrap w:val="0"/>
            <w:vAlign w:val="top"/>
          </w:tcPr>
          <w:p w14:paraId="59D763CD">
            <w:pPr>
              <w:spacing w:line="380" w:lineRule="exact"/>
              <w:rPr>
                <w:rFonts w:ascii="Times New Roman" w:hAnsi="Times New Roman"/>
                <w:color w:val="000000"/>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5F69F349">
            <w:pPr>
              <w:spacing w:line="380" w:lineRule="exact"/>
              <w:rPr>
                <w:rFonts w:ascii="Times New Roman" w:hAnsi="Times New Roman"/>
                <w:color w:val="000000"/>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60BECB03">
            <w:pPr>
              <w:spacing w:line="380" w:lineRule="exact"/>
              <w:rPr>
                <w:rFonts w:ascii="Times New Roman" w:hAnsi="Times New Roman"/>
                <w:color w:val="000000"/>
              </w:rPr>
            </w:pPr>
          </w:p>
        </w:tc>
      </w:tr>
      <w:tr w14:paraId="4A8A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top"/>
          </w:tcPr>
          <w:p w14:paraId="2F0F505B">
            <w:pPr>
              <w:spacing w:line="380" w:lineRule="exact"/>
              <w:rPr>
                <w:rFonts w:ascii="Times New Roman" w:hAnsi="Times New Roman"/>
                <w:color w:val="000000"/>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1C1C3B4D">
            <w:pPr>
              <w:spacing w:line="380" w:lineRule="exact"/>
              <w:rPr>
                <w:rFonts w:ascii="Times New Roman" w:hAnsi="Times New Roman"/>
                <w:color w:val="000000"/>
              </w:rPr>
            </w:pPr>
          </w:p>
        </w:tc>
        <w:tc>
          <w:tcPr>
            <w:tcW w:w="2072" w:type="dxa"/>
            <w:tcBorders>
              <w:top w:val="single" w:color="auto" w:sz="4" w:space="0"/>
              <w:left w:val="single" w:color="auto" w:sz="4" w:space="0"/>
              <w:bottom w:val="single" w:color="auto" w:sz="4" w:space="0"/>
              <w:right w:val="single" w:color="auto" w:sz="4" w:space="0"/>
            </w:tcBorders>
            <w:noWrap w:val="0"/>
            <w:vAlign w:val="top"/>
          </w:tcPr>
          <w:p w14:paraId="0FF06C0F">
            <w:pPr>
              <w:spacing w:line="380" w:lineRule="exact"/>
              <w:rPr>
                <w:rFonts w:ascii="Times New Roman" w:hAnsi="Times New Roman"/>
                <w:color w:val="000000"/>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4AFAAC11">
            <w:pPr>
              <w:spacing w:line="380" w:lineRule="exact"/>
              <w:rPr>
                <w:rFonts w:ascii="Times New Roman" w:hAnsi="Times New Roman"/>
                <w:color w:val="000000"/>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2CC3E44A">
            <w:pPr>
              <w:spacing w:line="380" w:lineRule="exact"/>
              <w:rPr>
                <w:rFonts w:ascii="Times New Roman" w:hAnsi="Times New Roman"/>
                <w:color w:val="000000"/>
              </w:rPr>
            </w:pPr>
          </w:p>
        </w:tc>
      </w:tr>
      <w:tr w14:paraId="78B9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top"/>
          </w:tcPr>
          <w:p w14:paraId="0EFF950A">
            <w:pPr>
              <w:spacing w:line="380" w:lineRule="exact"/>
              <w:rPr>
                <w:rFonts w:ascii="Times New Roman" w:hAnsi="Times New Roman"/>
                <w:color w:val="000000"/>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2F2A706A">
            <w:pPr>
              <w:spacing w:line="380" w:lineRule="exact"/>
              <w:rPr>
                <w:rFonts w:ascii="Times New Roman" w:hAnsi="Times New Roman"/>
                <w:color w:val="000000"/>
              </w:rPr>
            </w:pPr>
          </w:p>
        </w:tc>
        <w:tc>
          <w:tcPr>
            <w:tcW w:w="2072" w:type="dxa"/>
            <w:tcBorders>
              <w:top w:val="single" w:color="auto" w:sz="4" w:space="0"/>
              <w:left w:val="single" w:color="auto" w:sz="4" w:space="0"/>
              <w:bottom w:val="single" w:color="auto" w:sz="4" w:space="0"/>
              <w:right w:val="single" w:color="auto" w:sz="4" w:space="0"/>
            </w:tcBorders>
            <w:noWrap w:val="0"/>
            <w:vAlign w:val="top"/>
          </w:tcPr>
          <w:p w14:paraId="0548A0DE">
            <w:pPr>
              <w:spacing w:line="380" w:lineRule="exact"/>
              <w:rPr>
                <w:rFonts w:ascii="Times New Roman" w:hAnsi="Times New Roman"/>
                <w:color w:val="000000"/>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65CC6D9C">
            <w:pPr>
              <w:spacing w:line="380" w:lineRule="exact"/>
              <w:rPr>
                <w:rFonts w:ascii="Times New Roman" w:hAnsi="Times New Roman"/>
                <w:color w:val="000000"/>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41BBA7ED">
            <w:pPr>
              <w:spacing w:line="380" w:lineRule="exact"/>
              <w:rPr>
                <w:rFonts w:ascii="Times New Roman" w:hAnsi="Times New Roman"/>
                <w:color w:val="000000"/>
              </w:rPr>
            </w:pPr>
          </w:p>
        </w:tc>
      </w:tr>
    </w:tbl>
    <w:p w14:paraId="4B79DA01">
      <w:pPr>
        <w:pStyle w:val="25"/>
        <w:spacing w:before="0" w:after="0" w:afterLines="0"/>
        <w:rPr>
          <w:rFonts w:hint="eastAsia" w:ascii="Times New Roman" w:hAnsi="Times New Roman" w:eastAsia="仿宋" w:cs="宋体"/>
          <w:sz w:val="18"/>
          <w:szCs w:val="18"/>
        </w:rPr>
      </w:pPr>
    </w:p>
    <w:p w14:paraId="6C0C57DC">
      <w:pPr>
        <w:pStyle w:val="25"/>
        <w:spacing w:before="0" w:after="0" w:afterLines="0"/>
        <w:rPr>
          <w:rFonts w:ascii="Times New Roman" w:hAnsi="Times New Roman" w:eastAsia="仿宋" w:cs="宋体"/>
          <w:kern w:val="2"/>
          <w:sz w:val="21"/>
        </w:rPr>
      </w:pPr>
      <w:r>
        <w:rPr>
          <w:rFonts w:hint="eastAsia" w:ascii="Times New Roman" w:hAnsi="Times New Roman" w:eastAsia="仿宋" w:cs="宋体"/>
          <w:sz w:val="21"/>
        </w:rPr>
        <w:t>注：本比选文件（含资格、须知、服务内容及要求、技术、商务、合同条款要求等）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规格和商务偏离表”中加以如实详细说明，否则，参选人中选后才提出或者被比选人发现的任何负偏离或不响应或不满足均视为中选人违约，按参选人虚假承诺骗取中选处理，参选人将取消其中选人资格，给比选人造成损失的，还必须进行赔偿并负相关责任。</w:t>
      </w:r>
    </w:p>
    <w:p w14:paraId="624CDFC2">
      <w:pPr>
        <w:pStyle w:val="25"/>
        <w:spacing w:before="0" w:after="0" w:afterLines="0"/>
        <w:rPr>
          <w:rFonts w:ascii="Times New Roman" w:hAnsi="Times New Roman" w:eastAsia="仿宋" w:cs="宋体"/>
          <w:kern w:val="2"/>
          <w:szCs w:val="24"/>
        </w:rPr>
      </w:pPr>
    </w:p>
    <w:p w14:paraId="26B49B2E">
      <w:pPr>
        <w:pStyle w:val="25"/>
        <w:spacing w:before="0" w:after="0" w:afterLines="0"/>
        <w:rPr>
          <w:rFonts w:ascii="Times New Roman" w:hAnsi="Times New Roman" w:eastAsia="仿宋" w:cs="宋体"/>
          <w:kern w:val="2"/>
          <w:szCs w:val="24"/>
        </w:rPr>
      </w:pPr>
      <w:r>
        <w:rPr>
          <w:rFonts w:hint="eastAsia" w:ascii="Times New Roman" w:hAnsi="Times New Roman" w:eastAsia="仿宋" w:cs="宋体"/>
          <w:kern w:val="2"/>
        </w:rPr>
        <w:t>参选人全称（盖公章）：</w:t>
      </w:r>
    </w:p>
    <w:p w14:paraId="5E8E03E5">
      <w:pPr>
        <w:spacing w:before="120" w:after="120" w:line="360" w:lineRule="auto"/>
        <w:rPr>
          <w:rFonts w:ascii="Times New Roman" w:hAnsi="Times New Roman" w:eastAsia="仿宋"/>
          <w:u w:val="single"/>
        </w:rPr>
      </w:pPr>
      <w:r>
        <w:rPr>
          <w:rFonts w:hint="eastAsia" w:ascii="Times New Roman" w:hAnsi="Times New Roman" w:eastAsia="仿宋"/>
        </w:rPr>
        <w:t>参选人代表签字或盖章：</w:t>
      </w:r>
      <w:r>
        <w:rPr>
          <w:rFonts w:hint="eastAsia" w:ascii="Times New Roman" w:hAnsi="Times New Roman" w:eastAsia="仿宋"/>
          <w:color w:val="FF0000"/>
        </w:rPr>
        <w:t xml:space="preserve">     </w:t>
      </w:r>
      <w:r>
        <w:rPr>
          <w:rFonts w:hint="eastAsia" w:ascii="Times New Roman" w:hAnsi="Times New Roman" w:eastAsia="仿宋"/>
          <w:u w:val="single"/>
        </w:rPr>
        <w:t xml:space="preserve">                      </w:t>
      </w:r>
    </w:p>
    <w:p w14:paraId="00D2548D">
      <w:pPr>
        <w:spacing w:line="360" w:lineRule="auto"/>
        <w:rPr>
          <w:rFonts w:ascii="Times New Roman" w:hAnsi="Times New Roman" w:eastAsia="仿宋"/>
        </w:rPr>
      </w:pPr>
      <w:r>
        <w:rPr>
          <w:rFonts w:hint="eastAsia" w:ascii="Times New Roman" w:hAnsi="Times New Roman" w:eastAsia="仿宋"/>
        </w:rPr>
        <w:t>职    务：</w:t>
      </w:r>
    </w:p>
    <w:p w14:paraId="25DD3805">
      <w:pPr>
        <w:spacing w:line="360" w:lineRule="auto"/>
        <w:rPr>
          <w:rFonts w:ascii="Times New Roman" w:hAnsi="Times New Roman" w:eastAsia="仿宋"/>
        </w:rPr>
      </w:pPr>
      <w:r>
        <w:rPr>
          <w:rFonts w:hint="eastAsia" w:ascii="Times New Roman" w:hAnsi="Times New Roman" w:eastAsia="仿宋"/>
        </w:rPr>
        <w:t>日    期：     年   月   日</w:t>
      </w:r>
    </w:p>
    <w:p w14:paraId="19B3CC12">
      <w:pPr>
        <w:tabs>
          <w:tab w:val="left" w:pos="5580"/>
        </w:tabs>
        <w:spacing w:before="120" w:line="360" w:lineRule="auto"/>
        <w:outlineLvl w:val="3"/>
        <w:rPr>
          <w:rFonts w:ascii="Times New Roman" w:hAnsi="Times New Roman" w:eastAsia="仿宋"/>
          <w:b/>
        </w:rPr>
        <w:sectPr>
          <w:pgSz w:w="11906" w:h="16838"/>
          <w:pgMar w:top="1440" w:right="1800" w:bottom="1440" w:left="1800" w:header="851" w:footer="992" w:gutter="0"/>
          <w:pgNumType w:fmt="numberInDash"/>
          <w:cols w:space="720" w:num="1"/>
          <w:docGrid w:type="lines" w:linePitch="312" w:charSpace="0"/>
        </w:sectPr>
      </w:pPr>
    </w:p>
    <w:p w14:paraId="4D5AFF2C">
      <w:pPr>
        <w:jc w:val="both"/>
        <w:outlineLvl w:val="0"/>
        <w:rPr>
          <w:rFonts w:hint="eastAsia" w:ascii="Times New Roman" w:hAnsi="Times New Roman" w:eastAsia="仿宋" w:cs="仿宋"/>
          <w:b/>
          <w:bCs/>
          <w:sz w:val="44"/>
          <w:szCs w:val="44"/>
        </w:rPr>
      </w:pPr>
      <w:bookmarkStart w:id="458" w:name="_Toc21172"/>
      <w:bookmarkStart w:id="459" w:name="_Toc28334"/>
      <w:bookmarkStart w:id="460" w:name="_Toc18574"/>
      <w:bookmarkStart w:id="461" w:name="_Toc27038"/>
      <w:bookmarkStart w:id="462" w:name="_Toc14285"/>
      <w:r>
        <w:rPr>
          <w:rFonts w:hint="eastAsia" w:ascii="Times New Roman" w:hAnsi="Times New Roman" w:eastAsia="仿宋" w:cs="仿宋"/>
          <w:b/>
          <w:bCs/>
          <w:color w:val="000000"/>
          <w:sz w:val="44"/>
          <w:szCs w:val="44"/>
        </w:rPr>
        <w:t>附件十</w:t>
      </w:r>
      <w:r>
        <w:rPr>
          <w:rFonts w:hint="eastAsia" w:ascii="Times New Roman" w:hAnsi="Times New Roman" w:eastAsia="仿宋" w:cs="仿宋"/>
          <w:b/>
          <w:bCs/>
          <w:color w:val="000000"/>
          <w:sz w:val="44"/>
          <w:szCs w:val="44"/>
          <w:lang w:val="en-US" w:eastAsia="zh-CN"/>
        </w:rPr>
        <w:t xml:space="preserve"> </w:t>
      </w:r>
      <w:r>
        <w:rPr>
          <w:rFonts w:hint="eastAsia" w:ascii="Times New Roman" w:hAnsi="Times New Roman" w:eastAsia="仿宋" w:cs="仿宋"/>
          <w:b/>
          <w:bCs/>
          <w:color w:val="000000"/>
          <w:sz w:val="44"/>
          <w:szCs w:val="44"/>
        </w:rPr>
        <w:t>商务评分标准对照情况点对点应答表</w:t>
      </w:r>
      <w:bookmarkEnd w:id="458"/>
      <w:bookmarkEnd w:id="459"/>
      <w:bookmarkEnd w:id="460"/>
      <w:bookmarkEnd w:id="461"/>
    </w:p>
    <w:p w14:paraId="7D45DA5A">
      <w:pPr>
        <w:jc w:val="center"/>
        <w:rPr>
          <w:rFonts w:hint="eastAsia" w:ascii="Times New Roman" w:hAnsi="Times New Roman" w:eastAsia="黑体" w:cs="黑体"/>
          <w:sz w:val="32"/>
          <w:szCs w:val="32"/>
        </w:rPr>
      </w:pPr>
      <w:r>
        <w:rPr>
          <w:rFonts w:hint="eastAsia" w:ascii="Times New Roman" w:hAnsi="Times New Roman" w:eastAsia="黑体" w:cs="黑体"/>
          <w:sz w:val="32"/>
          <w:szCs w:val="32"/>
        </w:rPr>
        <w:t>商务评分标准对照情况点对点应答表</w:t>
      </w:r>
      <w:bookmarkEnd w:id="462"/>
    </w:p>
    <w:p w14:paraId="68F37565">
      <w:pPr>
        <w:jc w:val="both"/>
        <w:rPr>
          <w:rFonts w:ascii="Times New Roman" w:hAnsi="Times New Roman"/>
        </w:rPr>
      </w:pPr>
    </w:p>
    <w:p w14:paraId="03181E68">
      <w:pPr>
        <w:rPr>
          <w:rFonts w:hint="eastAsia" w:ascii="Times New Roman" w:hAnsi="Times New Roman" w:eastAsia="仿宋" w:cs="仿宋"/>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4319"/>
        <w:gridCol w:w="1729"/>
      </w:tblGrid>
      <w:tr w14:paraId="3780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3" w:type="dxa"/>
            <w:noWrap w:val="0"/>
            <w:vAlign w:val="top"/>
          </w:tcPr>
          <w:p w14:paraId="230930E1">
            <w:pPr>
              <w:widowControl w:val="0"/>
              <w:jc w:val="center"/>
              <w:rPr>
                <w:rFonts w:hint="eastAsia" w:ascii="Times New Roman" w:hAnsi="Times New Roman" w:eastAsia="仿宋" w:cs="仿宋"/>
              </w:rPr>
            </w:pPr>
            <w:r>
              <w:rPr>
                <w:rFonts w:hint="eastAsia" w:ascii="Times New Roman" w:hAnsi="Times New Roman" w:eastAsia="仿宋" w:cs="仿宋"/>
              </w:rPr>
              <w:t>商务部分评分内容</w:t>
            </w:r>
          </w:p>
        </w:tc>
        <w:tc>
          <w:tcPr>
            <w:tcW w:w="4319" w:type="dxa"/>
            <w:noWrap w:val="0"/>
            <w:vAlign w:val="top"/>
          </w:tcPr>
          <w:p w14:paraId="38583A6A">
            <w:pPr>
              <w:widowControl w:val="0"/>
              <w:jc w:val="center"/>
              <w:rPr>
                <w:rFonts w:hint="eastAsia" w:ascii="Times New Roman" w:hAnsi="Times New Roman" w:eastAsia="仿宋" w:cs="仿宋"/>
              </w:rPr>
            </w:pPr>
            <w:r>
              <w:rPr>
                <w:rFonts w:hint="eastAsia" w:ascii="Times New Roman" w:hAnsi="Times New Roman" w:eastAsia="仿宋" w:cs="仿宋"/>
              </w:rPr>
              <w:t>参选响应情况（具体内容或相应资料证明可以索引至参选文件中相应页码）</w:t>
            </w:r>
          </w:p>
        </w:tc>
        <w:tc>
          <w:tcPr>
            <w:tcW w:w="1729" w:type="dxa"/>
            <w:noWrap w:val="0"/>
            <w:vAlign w:val="top"/>
          </w:tcPr>
          <w:p w14:paraId="321339AA">
            <w:pPr>
              <w:widowControl w:val="0"/>
              <w:jc w:val="center"/>
              <w:rPr>
                <w:rFonts w:hint="eastAsia" w:ascii="Times New Roman" w:hAnsi="Times New Roman" w:eastAsia="仿宋" w:cs="仿宋"/>
              </w:rPr>
            </w:pPr>
            <w:r>
              <w:rPr>
                <w:rFonts w:hint="eastAsia" w:ascii="Times New Roman" w:hAnsi="Times New Roman" w:eastAsia="仿宋" w:cs="仿宋"/>
              </w:rPr>
              <w:t>详见页码</w:t>
            </w:r>
          </w:p>
        </w:tc>
      </w:tr>
      <w:tr w14:paraId="5FB2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3" w:type="dxa"/>
            <w:noWrap w:val="0"/>
            <w:vAlign w:val="top"/>
          </w:tcPr>
          <w:p w14:paraId="0753AE86">
            <w:pPr>
              <w:widowControl w:val="0"/>
              <w:jc w:val="both"/>
              <w:rPr>
                <w:rFonts w:hint="eastAsia" w:ascii="Times New Roman" w:hAnsi="Times New Roman" w:eastAsia="仿宋" w:cs="仿宋"/>
                <w:sz w:val="28"/>
                <w:szCs w:val="28"/>
              </w:rPr>
            </w:pPr>
          </w:p>
        </w:tc>
        <w:tc>
          <w:tcPr>
            <w:tcW w:w="4319" w:type="dxa"/>
            <w:noWrap w:val="0"/>
            <w:vAlign w:val="top"/>
          </w:tcPr>
          <w:p w14:paraId="115CFE74">
            <w:pPr>
              <w:widowControl w:val="0"/>
              <w:jc w:val="both"/>
              <w:rPr>
                <w:rFonts w:hint="eastAsia" w:ascii="Times New Roman" w:hAnsi="Times New Roman" w:eastAsia="仿宋" w:cs="仿宋"/>
                <w:sz w:val="28"/>
                <w:szCs w:val="28"/>
              </w:rPr>
            </w:pPr>
          </w:p>
        </w:tc>
        <w:tc>
          <w:tcPr>
            <w:tcW w:w="1729" w:type="dxa"/>
            <w:noWrap w:val="0"/>
            <w:vAlign w:val="top"/>
          </w:tcPr>
          <w:p w14:paraId="15B7C196">
            <w:pPr>
              <w:widowControl w:val="0"/>
              <w:jc w:val="both"/>
              <w:rPr>
                <w:rFonts w:hint="eastAsia" w:ascii="Times New Roman" w:hAnsi="Times New Roman" w:eastAsia="仿宋" w:cs="仿宋"/>
                <w:sz w:val="28"/>
                <w:szCs w:val="28"/>
              </w:rPr>
            </w:pPr>
          </w:p>
        </w:tc>
      </w:tr>
      <w:tr w14:paraId="6643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3" w:type="dxa"/>
            <w:noWrap w:val="0"/>
            <w:vAlign w:val="top"/>
          </w:tcPr>
          <w:p w14:paraId="34EF4833">
            <w:pPr>
              <w:widowControl w:val="0"/>
              <w:jc w:val="both"/>
              <w:rPr>
                <w:rFonts w:hint="eastAsia" w:ascii="Times New Roman" w:hAnsi="Times New Roman" w:eastAsia="仿宋" w:cs="仿宋"/>
                <w:sz w:val="28"/>
                <w:szCs w:val="28"/>
              </w:rPr>
            </w:pPr>
          </w:p>
        </w:tc>
        <w:tc>
          <w:tcPr>
            <w:tcW w:w="4319" w:type="dxa"/>
            <w:noWrap w:val="0"/>
            <w:vAlign w:val="top"/>
          </w:tcPr>
          <w:p w14:paraId="2C5B10D0">
            <w:pPr>
              <w:widowControl w:val="0"/>
              <w:jc w:val="both"/>
              <w:rPr>
                <w:rFonts w:hint="eastAsia" w:ascii="Times New Roman" w:hAnsi="Times New Roman" w:eastAsia="仿宋" w:cs="仿宋"/>
                <w:sz w:val="28"/>
                <w:szCs w:val="28"/>
              </w:rPr>
            </w:pPr>
          </w:p>
        </w:tc>
        <w:tc>
          <w:tcPr>
            <w:tcW w:w="1729" w:type="dxa"/>
            <w:noWrap w:val="0"/>
            <w:vAlign w:val="top"/>
          </w:tcPr>
          <w:p w14:paraId="53239F89">
            <w:pPr>
              <w:widowControl w:val="0"/>
              <w:jc w:val="both"/>
              <w:rPr>
                <w:rFonts w:hint="eastAsia" w:ascii="Times New Roman" w:hAnsi="Times New Roman" w:eastAsia="仿宋" w:cs="仿宋"/>
                <w:sz w:val="28"/>
                <w:szCs w:val="28"/>
              </w:rPr>
            </w:pPr>
          </w:p>
        </w:tc>
      </w:tr>
      <w:tr w14:paraId="1578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3" w:type="dxa"/>
            <w:noWrap w:val="0"/>
            <w:vAlign w:val="top"/>
          </w:tcPr>
          <w:p w14:paraId="046CDD41">
            <w:pPr>
              <w:widowControl w:val="0"/>
              <w:jc w:val="both"/>
              <w:rPr>
                <w:rFonts w:hint="eastAsia" w:ascii="Times New Roman" w:hAnsi="Times New Roman" w:eastAsia="仿宋" w:cs="仿宋"/>
                <w:sz w:val="28"/>
                <w:szCs w:val="28"/>
              </w:rPr>
            </w:pPr>
          </w:p>
        </w:tc>
        <w:tc>
          <w:tcPr>
            <w:tcW w:w="4319" w:type="dxa"/>
            <w:noWrap w:val="0"/>
            <w:vAlign w:val="top"/>
          </w:tcPr>
          <w:p w14:paraId="1739BF4E">
            <w:pPr>
              <w:widowControl w:val="0"/>
              <w:jc w:val="both"/>
              <w:rPr>
                <w:rFonts w:hint="eastAsia" w:ascii="Times New Roman" w:hAnsi="Times New Roman" w:eastAsia="仿宋" w:cs="仿宋"/>
                <w:sz w:val="28"/>
                <w:szCs w:val="28"/>
              </w:rPr>
            </w:pPr>
          </w:p>
        </w:tc>
        <w:tc>
          <w:tcPr>
            <w:tcW w:w="1729" w:type="dxa"/>
            <w:noWrap w:val="0"/>
            <w:vAlign w:val="top"/>
          </w:tcPr>
          <w:p w14:paraId="45861E35">
            <w:pPr>
              <w:widowControl w:val="0"/>
              <w:jc w:val="both"/>
              <w:rPr>
                <w:rFonts w:hint="eastAsia" w:ascii="Times New Roman" w:hAnsi="Times New Roman" w:eastAsia="仿宋" w:cs="仿宋"/>
                <w:sz w:val="28"/>
                <w:szCs w:val="28"/>
              </w:rPr>
            </w:pPr>
          </w:p>
        </w:tc>
      </w:tr>
      <w:tr w14:paraId="6DB1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3" w:type="dxa"/>
            <w:noWrap w:val="0"/>
            <w:vAlign w:val="top"/>
          </w:tcPr>
          <w:p w14:paraId="4BB3E961">
            <w:pPr>
              <w:widowControl w:val="0"/>
              <w:jc w:val="both"/>
              <w:rPr>
                <w:rFonts w:hint="eastAsia" w:ascii="Times New Roman" w:hAnsi="Times New Roman" w:eastAsia="仿宋" w:cs="仿宋"/>
                <w:sz w:val="28"/>
                <w:szCs w:val="28"/>
              </w:rPr>
            </w:pPr>
          </w:p>
        </w:tc>
        <w:tc>
          <w:tcPr>
            <w:tcW w:w="4319" w:type="dxa"/>
            <w:noWrap w:val="0"/>
            <w:vAlign w:val="top"/>
          </w:tcPr>
          <w:p w14:paraId="3CA79C45">
            <w:pPr>
              <w:widowControl w:val="0"/>
              <w:jc w:val="both"/>
              <w:rPr>
                <w:rFonts w:hint="eastAsia" w:ascii="Times New Roman" w:hAnsi="Times New Roman" w:eastAsia="仿宋" w:cs="仿宋"/>
                <w:sz w:val="28"/>
                <w:szCs w:val="28"/>
              </w:rPr>
            </w:pPr>
          </w:p>
        </w:tc>
        <w:tc>
          <w:tcPr>
            <w:tcW w:w="1729" w:type="dxa"/>
            <w:noWrap w:val="0"/>
            <w:vAlign w:val="top"/>
          </w:tcPr>
          <w:p w14:paraId="28B60602">
            <w:pPr>
              <w:widowControl w:val="0"/>
              <w:jc w:val="both"/>
              <w:rPr>
                <w:rFonts w:hint="eastAsia" w:ascii="Times New Roman" w:hAnsi="Times New Roman" w:eastAsia="仿宋" w:cs="仿宋"/>
                <w:sz w:val="28"/>
                <w:szCs w:val="28"/>
              </w:rPr>
            </w:pPr>
          </w:p>
        </w:tc>
      </w:tr>
      <w:tr w14:paraId="2CA7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3" w:type="dxa"/>
            <w:noWrap w:val="0"/>
            <w:vAlign w:val="top"/>
          </w:tcPr>
          <w:p w14:paraId="4557064B">
            <w:pPr>
              <w:widowControl w:val="0"/>
              <w:jc w:val="both"/>
              <w:rPr>
                <w:rFonts w:hint="eastAsia" w:ascii="Times New Roman" w:hAnsi="Times New Roman" w:eastAsia="仿宋" w:cs="仿宋"/>
                <w:sz w:val="28"/>
                <w:szCs w:val="28"/>
              </w:rPr>
            </w:pPr>
          </w:p>
        </w:tc>
        <w:tc>
          <w:tcPr>
            <w:tcW w:w="4319" w:type="dxa"/>
            <w:noWrap w:val="0"/>
            <w:vAlign w:val="top"/>
          </w:tcPr>
          <w:p w14:paraId="062CF5A0">
            <w:pPr>
              <w:widowControl w:val="0"/>
              <w:jc w:val="both"/>
              <w:rPr>
                <w:rFonts w:hint="eastAsia" w:ascii="Times New Roman" w:hAnsi="Times New Roman" w:eastAsia="仿宋" w:cs="仿宋"/>
                <w:sz w:val="28"/>
                <w:szCs w:val="28"/>
              </w:rPr>
            </w:pPr>
          </w:p>
        </w:tc>
        <w:tc>
          <w:tcPr>
            <w:tcW w:w="1729" w:type="dxa"/>
            <w:noWrap w:val="0"/>
            <w:vAlign w:val="top"/>
          </w:tcPr>
          <w:p w14:paraId="192582D5">
            <w:pPr>
              <w:widowControl w:val="0"/>
              <w:jc w:val="both"/>
              <w:rPr>
                <w:rFonts w:hint="eastAsia" w:ascii="Times New Roman" w:hAnsi="Times New Roman" w:eastAsia="仿宋" w:cs="仿宋"/>
                <w:sz w:val="28"/>
                <w:szCs w:val="28"/>
              </w:rPr>
            </w:pPr>
          </w:p>
        </w:tc>
      </w:tr>
      <w:tr w14:paraId="0FCF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3" w:type="dxa"/>
            <w:noWrap w:val="0"/>
            <w:vAlign w:val="top"/>
          </w:tcPr>
          <w:p w14:paraId="6A4C45E6">
            <w:pPr>
              <w:widowControl w:val="0"/>
              <w:jc w:val="both"/>
              <w:rPr>
                <w:rFonts w:hint="eastAsia" w:ascii="Times New Roman" w:hAnsi="Times New Roman" w:eastAsia="仿宋" w:cs="仿宋"/>
                <w:sz w:val="28"/>
                <w:szCs w:val="28"/>
              </w:rPr>
            </w:pPr>
          </w:p>
        </w:tc>
        <w:tc>
          <w:tcPr>
            <w:tcW w:w="4319" w:type="dxa"/>
            <w:noWrap w:val="0"/>
            <w:vAlign w:val="top"/>
          </w:tcPr>
          <w:p w14:paraId="6CEF8646">
            <w:pPr>
              <w:widowControl w:val="0"/>
              <w:jc w:val="both"/>
              <w:rPr>
                <w:rFonts w:hint="eastAsia" w:ascii="Times New Roman" w:hAnsi="Times New Roman" w:eastAsia="仿宋" w:cs="仿宋"/>
                <w:sz w:val="28"/>
                <w:szCs w:val="28"/>
              </w:rPr>
            </w:pPr>
          </w:p>
        </w:tc>
        <w:tc>
          <w:tcPr>
            <w:tcW w:w="1729" w:type="dxa"/>
            <w:noWrap w:val="0"/>
            <w:vAlign w:val="top"/>
          </w:tcPr>
          <w:p w14:paraId="5A6C8701">
            <w:pPr>
              <w:widowControl w:val="0"/>
              <w:jc w:val="both"/>
              <w:rPr>
                <w:rFonts w:hint="eastAsia" w:ascii="Times New Roman" w:hAnsi="Times New Roman" w:eastAsia="仿宋" w:cs="仿宋"/>
                <w:sz w:val="28"/>
                <w:szCs w:val="28"/>
              </w:rPr>
            </w:pPr>
          </w:p>
        </w:tc>
      </w:tr>
    </w:tbl>
    <w:p w14:paraId="7AFFA4D1">
      <w:pPr>
        <w:rPr>
          <w:rFonts w:ascii="Times New Roman" w:hAnsi="Times New Roman"/>
        </w:rPr>
      </w:pPr>
    </w:p>
    <w:p w14:paraId="12B42F51">
      <w:pPr>
        <w:rPr>
          <w:rFonts w:hint="eastAsia" w:ascii="Times New Roman" w:hAnsi="Times New Roman" w:eastAsia="仿宋" w:cs="仿宋"/>
        </w:rPr>
      </w:pPr>
      <w:r>
        <w:rPr>
          <w:rFonts w:hint="eastAsia" w:ascii="Times New Roman" w:hAnsi="Times New Roman" w:eastAsia="仿宋" w:cs="仿宋"/>
        </w:rPr>
        <w:t>备注：</w:t>
      </w:r>
    </w:p>
    <w:p w14:paraId="090A0CFB">
      <w:pPr>
        <w:rPr>
          <w:rFonts w:hint="eastAsia" w:ascii="Times New Roman" w:hAnsi="Times New Roman" w:eastAsia="仿宋" w:cs="仿宋"/>
        </w:rPr>
      </w:pPr>
      <w:r>
        <w:rPr>
          <w:rFonts w:hint="eastAsia" w:ascii="Times New Roman" w:hAnsi="Times New Roman" w:eastAsia="仿宋" w:cs="仿宋"/>
        </w:rPr>
        <w:t>①参选人必须对自已所投产品或自身是否满足相关评分项目，在参选文件中逐项做出如实明确的应答，表明是否满足或正负偏离。</w:t>
      </w:r>
    </w:p>
    <w:p w14:paraId="016A4D62">
      <w:pPr>
        <w:rPr>
          <w:rFonts w:hint="eastAsia" w:ascii="Times New Roman" w:hAnsi="Times New Roman" w:eastAsia="仿宋" w:cs="仿宋"/>
        </w:rPr>
      </w:pPr>
      <w:r>
        <w:rPr>
          <w:rFonts w:hint="eastAsia" w:ascii="Times New Roman" w:hAnsi="Times New Roman" w:eastAsia="仿宋" w:cs="仿宋"/>
        </w:rPr>
        <w:t>②参选人应将比选文件中要求的如：各类证书等装订编列章节，并编制页码索引。同时参选人应在参选文件的应答部分明确说明各文件所在页码；以方便比选小组逐项翻阅查询。</w:t>
      </w:r>
    </w:p>
    <w:p w14:paraId="20127A8E">
      <w:pPr>
        <w:rPr>
          <w:rFonts w:hint="eastAsia" w:ascii="Times New Roman" w:hAnsi="Times New Roman" w:eastAsia="仿宋" w:cs="仿宋"/>
        </w:rPr>
      </w:pPr>
      <w:r>
        <w:rPr>
          <w:rFonts w:hint="eastAsia" w:ascii="Times New Roman" w:hAnsi="Times New Roman" w:eastAsia="仿宋" w:cs="仿宋"/>
        </w:rPr>
        <w:t>③表格的“详见页码”可以是具体的页码、章节范围或者是全文。</w:t>
      </w:r>
    </w:p>
    <w:p w14:paraId="4C1B7FE7">
      <w:pPr>
        <w:rPr>
          <w:rFonts w:hint="eastAsia" w:ascii="Times New Roman" w:hAnsi="Times New Roman" w:eastAsia="仿宋" w:cs="仿宋"/>
        </w:rPr>
      </w:pPr>
    </w:p>
    <w:p w14:paraId="7D2DBCD9">
      <w:pPr>
        <w:spacing w:line="360" w:lineRule="auto"/>
        <w:rPr>
          <w:rFonts w:ascii="Times New Roman" w:hAnsi="Times New Roman" w:eastAsia="仿宋"/>
        </w:rPr>
      </w:pPr>
      <w:r>
        <w:rPr>
          <w:rFonts w:hint="eastAsia" w:ascii="Times New Roman" w:hAnsi="Times New Roman" w:eastAsia="仿宋"/>
        </w:rPr>
        <w:t xml:space="preserve">                             参选人   </w:t>
      </w:r>
      <w:r>
        <w:rPr>
          <w:rFonts w:hint="eastAsia" w:ascii="Times New Roman" w:hAnsi="Times New Roman" w:eastAsia="仿宋"/>
          <w:u w:val="single"/>
        </w:rPr>
        <w:t xml:space="preserve">（全称并加盖公章）：      </w:t>
      </w:r>
    </w:p>
    <w:p w14:paraId="76D23C15">
      <w:pPr>
        <w:spacing w:line="360" w:lineRule="auto"/>
        <w:rPr>
          <w:rFonts w:ascii="Times New Roman" w:hAnsi="Times New Roman" w:eastAsia="仿宋"/>
          <w:u w:val="single"/>
        </w:rPr>
      </w:pPr>
      <w:r>
        <w:rPr>
          <w:rFonts w:hint="eastAsia" w:ascii="Times New Roman" w:hAnsi="Times New Roman" w:eastAsia="仿宋"/>
        </w:rPr>
        <w:t xml:space="preserve">                             参选人代表（签字或盖章）：  </w:t>
      </w:r>
      <w:r>
        <w:rPr>
          <w:rFonts w:hint="eastAsia" w:ascii="Times New Roman" w:hAnsi="Times New Roman" w:eastAsia="仿宋"/>
          <w:color w:val="FF0000"/>
        </w:rPr>
        <w:t xml:space="preserve">    </w:t>
      </w:r>
      <w:r>
        <w:rPr>
          <w:rFonts w:hint="eastAsia" w:ascii="Times New Roman" w:hAnsi="Times New Roman" w:eastAsia="仿宋"/>
          <w:u w:val="single"/>
        </w:rPr>
        <w:t xml:space="preserve">         </w:t>
      </w:r>
    </w:p>
    <w:p w14:paraId="32AED4F8">
      <w:pPr>
        <w:autoSpaceDE w:val="0"/>
        <w:autoSpaceDN w:val="0"/>
        <w:snapToGrid w:val="0"/>
        <w:spacing w:line="360" w:lineRule="auto"/>
        <w:rPr>
          <w:rFonts w:hint="eastAsia" w:ascii="Times New Roman" w:hAnsi="Times New Roman" w:eastAsia="仿宋" w:cs="仿宋"/>
          <w:color w:val="000000"/>
        </w:rPr>
      </w:pPr>
      <w:r>
        <w:rPr>
          <w:rFonts w:hint="eastAsia" w:ascii="Times New Roman" w:hAnsi="Times New Roman" w:eastAsia="仿宋"/>
        </w:rPr>
        <w:t xml:space="preserve">                             日期：</w:t>
      </w:r>
      <w:r>
        <w:rPr>
          <w:rFonts w:hint="eastAsia" w:ascii="Times New Roman" w:hAnsi="Times New Roman" w:eastAsia="仿宋"/>
          <w:u w:val="single"/>
        </w:rPr>
        <w:t xml:space="preserve">       </w:t>
      </w:r>
    </w:p>
    <w:p w14:paraId="2A5022B6">
      <w:pPr>
        <w:jc w:val="both"/>
        <w:outlineLvl w:val="0"/>
        <w:rPr>
          <w:rFonts w:hint="eastAsia" w:ascii="Times New Roman" w:hAnsi="Times New Roman" w:eastAsia="仿宋" w:cs="仿宋"/>
          <w:b/>
          <w:bCs/>
          <w:color w:val="000000"/>
          <w:sz w:val="44"/>
          <w:szCs w:val="44"/>
        </w:rPr>
      </w:pPr>
      <w:r>
        <w:rPr>
          <w:rFonts w:hint="eastAsia" w:ascii="Times New Roman" w:hAnsi="Times New Roman" w:eastAsia="仿宋" w:cs="仿宋"/>
          <w:b/>
          <w:bCs/>
          <w:sz w:val="44"/>
          <w:szCs w:val="44"/>
        </w:rPr>
        <w:br w:type="page"/>
      </w:r>
      <w:bookmarkStart w:id="463" w:name="_Toc18809"/>
      <w:bookmarkStart w:id="464" w:name="_Toc16958"/>
      <w:bookmarkStart w:id="465" w:name="_Toc9497"/>
      <w:bookmarkStart w:id="466" w:name="_Toc24801"/>
      <w:r>
        <w:rPr>
          <w:rFonts w:hint="eastAsia" w:ascii="Times New Roman" w:hAnsi="Times New Roman" w:eastAsia="仿宋" w:cs="仿宋"/>
          <w:b/>
          <w:bCs/>
          <w:color w:val="000000"/>
          <w:sz w:val="44"/>
          <w:szCs w:val="44"/>
        </w:rPr>
        <w:t>附件十一</w:t>
      </w:r>
      <w:r>
        <w:rPr>
          <w:rFonts w:hint="eastAsia" w:ascii="Times New Roman" w:hAnsi="Times New Roman" w:eastAsia="仿宋" w:cs="仿宋"/>
          <w:b/>
          <w:bCs/>
          <w:color w:val="000000"/>
          <w:sz w:val="44"/>
          <w:szCs w:val="44"/>
          <w:lang w:val="en-US" w:eastAsia="zh-CN"/>
        </w:rPr>
        <w:t xml:space="preserve"> </w:t>
      </w:r>
      <w:r>
        <w:rPr>
          <w:rFonts w:hint="eastAsia" w:ascii="Times New Roman" w:hAnsi="Times New Roman" w:eastAsia="仿宋" w:cs="仿宋"/>
          <w:b/>
          <w:bCs/>
          <w:color w:val="000000"/>
          <w:sz w:val="44"/>
          <w:szCs w:val="44"/>
        </w:rPr>
        <w:t>技术评分标准对照情况点对点应答表</w:t>
      </w:r>
      <w:bookmarkEnd w:id="463"/>
      <w:bookmarkEnd w:id="464"/>
      <w:bookmarkEnd w:id="465"/>
      <w:bookmarkEnd w:id="466"/>
    </w:p>
    <w:p w14:paraId="62B9814D">
      <w:pPr>
        <w:pStyle w:val="16"/>
        <w:spacing w:line="560" w:lineRule="exact"/>
        <w:outlineLvl w:val="9"/>
        <w:rPr>
          <w:rFonts w:hint="eastAsia" w:ascii="Times New Roman" w:hAnsi="Times New Roman" w:eastAsia="黑体" w:cs="黑体"/>
          <w:b w:val="0"/>
          <w:bCs w:val="0"/>
          <w:kern w:val="0"/>
        </w:rPr>
      </w:pPr>
      <w:bookmarkStart w:id="467" w:name="_Toc19528"/>
      <w:bookmarkStart w:id="468" w:name="_Toc29240"/>
      <w:bookmarkStart w:id="469" w:name="_Toc27951"/>
      <w:bookmarkStart w:id="470" w:name="_Toc32020"/>
      <w:bookmarkStart w:id="471" w:name="_Toc11135"/>
      <w:r>
        <w:rPr>
          <w:rFonts w:hint="eastAsia" w:ascii="Times New Roman" w:hAnsi="Times New Roman" w:eastAsia="黑体" w:cs="黑体"/>
          <w:b w:val="0"/>
          <w:bCs w:val="0"/>
          <w:kern w:val="0"/>
        </w:rPr>
        <w:t>技术评分标准对照情况点对点应答表</w:t>
      </w:r>
      <w:bookmarkEnd w:id="467"/>
      <w:bookmarkEnd w:id="468"/>
      <w:bookmarkEnd w:id="469"/>
      <w:bookmarkEnd w:id="470"/>
      <w:bookmarkEnd w:id="471"/>
    </w:p>
    <w:p w14:paraId="3062F727">
      <w:pPr>
        <w:pStyle w:val="5"/>
        <w:rPr>
          <w:rFonts w:ascii="Times New Roman" w:hAnsi="Times New Roma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4998"/>
        <w:gridCol w:w="1326"/>
      </w:tblGrid>
      <w:tr w14:paraId="064A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7" w:type="dxa"/>
            <w:noWrap w:val="0"/>
            <w:vAlign w:val="top"/>
          </w:tcPr>
          <w:p w14:paraId="1BF59F4A">
            <w:pPr>
              <w:widowControl w:val="0"/>
              <w:jc w:val="center"/>
              <w:rPr>
                <w:rFonts w:hint="eastAsia" w:ascii="Times New Roman" w:hAnsi="Times New Roman" w:eastAsia="仿宋" w:cs="仿宋"/>
              </w:rPr>
            </w:pPr>
            <w:r>
              <w:rPr>
                <w:rFonts w:hint="eastAsia" w:ascii="Times New Roman" w:hAnsi="Times New Roman" w:eastAsia="仿宋" w:cs="仿宋"/>
              </w:rPr>
              <w:t>技术部分评分内容</w:t>
            </w:r>
          </w:p>
        </w:tc>
        <w:tc>
          <w:tcPr>
            <w:tcW w:w="4998" w:type="dxa"/>
            <w:noWrap w:val="0"/>
            <w:vAlign w:val="top"/>
          </w:tcPr>
          <w:p w14:paraId="3E929B90">
            <w:pPr>
              <w:widowControl w:val="0"/>
              <w:jc w:val="center"/>
              <w:rPr>
                <w:rFonts w:hint="eastAsia" w:ascii="Times New Roman" w:hAnsi="Times New Roman" w:eastAsia="仿宋" w:cs="仿宋"/>
              </w:rPr>
            </w:pPr>
            <w:r>
              <w:rPr>
                <w:rFonts w:hint="eastAsia" w:ascii="Times New Roman" w:hAnsi="Times New Roman" w:eastAsia="仿宋" w:cs="仿宋"/>
              </w:rPr>
              <w:t>参选响应情况（具体内容或相应资料证明可以索引至参选文件中相应页码）</w:t>
            </w:r>
          </w:p>
        </w:tc>
        <w:tc>
          <w:tcPr>
            <w:tcW w:w="1326" w:type="dxa"/>
            <w:noWrap w:val="0"/>
            <w:vAlign w:val="top"/>
          </w:tcPr>
          <w:p w14:paraId="6B54AF03">
            <w:pPr>
              <w:widowControl w:val="0"/>
              <w:jc w:val="center"/>
              <w:rPr>
                <w:rFonts w:hint="eastAsia" w:ascii="Times New Roman" w:hAnsi="Times New Roman" w:eastAsia="仿宋" w:cs="仿宋"/>
              </w:rPr>
            </w:pPr>
            <w:r>
              <w:rPr>
                <w:rFonts w:hint="eastAsia" w:ascii="Times New Roman" w:hAnsi="Times New Roman" w:eastAsia="仿宋" w:cs="仿宋"/>
              </w:rPr>
              <w:t>详见页码</w:t>
            </w:r>
          </w:p>
        </w:tc>
      </w:tr>
      <w:tr w14:paraId="6522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7" w:type="dxa"/>
            <w:noWrap w:val="0"/>
            <w:vAlign w:val="top"/>
          </w:tcPr>
          <w:p w14:paraId="492AD248">
            <w:pPr>
              <w:widowControl w:val="0"/>
              <w:jc w:val="both"/>
              <w:rPr>
                <w:rFonts w:hint="eastAsia" w:ascii="Times New Roman" w:hAnsi="Times New Roman" w:eastAsia="仿宋" w:cs="仿宋"/>
                <w:sz w:val="28"/>
                <w:szCs w:val="28"/>
              </w:rPr>
            </w:pPr>
          </w:p>
        </w:tc>
        <w:tc>
          <w:tcPr>
            <w:tcW w:w="4998" w:type="dxa"/>
            <w:noWrap w:val="0"/>
            <w:vAlign w:val="top"/>
          </w:tcPr>
          <w:p w14:paraId="1D1832DB">
            <w:pPr>
              <w:widowControl w:val="0"/>
              <w:jc w:val="both"/>
              <w:rPr>
                <w:rFonts w:hint="eastAsia" w:ascii="Times New Roman" w:hAnsi="Times New Roman" w:eastAsia="仿宋" w:cs="仿宋"/>
                <w:sz w:val="28"/>
                <w:szCs w:val="28"/>
              </w:rPr>
            </w:pPr>
          </w:p>
        </w:tc>
        <w:tc>
          <w:tcPr>
            <w:tcW w:w="1326" w:type="dxa"/>
            <w:noWrap w:val="0"/>
            <w:vAlign w:val="top"/>
          </w:tcPr>
          <w:p w14:paraId="116B4B36">
            <w:pPr>
              <w:widowControl w:val="0"/>
              <w:jc w:val="both"/>
              <w:rPr>
                <w:rFonts w:hint="eastAsia" w:ascii="Times New Roman" w:hAnsi="Times New Roman" w:eastAsia="仿宋" w:cs="仿宋"/>
                <w:sz w:val="28"/>
                <w:szCs w:val="28"/>
              </w:rPr>
            </w:pPr>
          </w:p>
        </w:tc>
      </w:tr>
      <w:tr w14:paraId="7679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7" w:type="dxa"/>
            <w:noWrap w:val="0"/>
            <w:vAlign w:val="top"/>
          </w:tcPr>
          <w:p w14:paraId="1A478B1E">
            <w:pPr>
              <w:widowControl w:val="0"/>
              <w:jc w:val="both"/>
              <w:rPr>
                <w:rFonts w:hint="eastAsia" w:ascii="Times New Roman" w:hAnsi="Times New Roman" w:eastAsia="仿宋" w:cs="仿宋"/>
                <w:sz w:val="28"/>
                <w:szCs w:val="28"/>
              </w:rPr>
            </w:pPr>
          </w:p>
        </w:tc>
        <w:tc>
          <w:tcPr>
            <w:tcW w:w="4998" w:type="dxa"/>
            <w:noWrap w:val="0"/>
            <w:vAlign w:val="top"/>
          </w:tcPr>
          <w:p w14:paraId="4164FE08">
            <w:pPr>
              <w:widowControl w:val="0"/>
              <w:jc w:val="both"/>
              <w:rPr>
                <w:rFonts w:hint="eastAsia" w:ascii="Times New Roman" w:hAnsi="Times New Roman" w:eastAsia="仿宋" w:cs="仿宋"/>
                <w:sz w:val="28"/>
                <w:szCs w:val="28"/>
              </w:rPr>
            </w:pPr>
          </w:p>
        </w:tc>
        <w:tc>
          <w:tcPr>
            <w:tcW w:w="1326" w:type="dxa"/>
            <w:noWrap w:val="0"/>
            <w:vAlign w:val="top"/>
          </w:tcPr>
          <w:p w14:paraId="48CE7ADA">
            <w:pPr>
              <w:widowControl w:val="0"/>
              <w:jc w:val="both"/>
              <w:rPr>
                <w:rFonts w:hint="eastAsia" w:ascii="Times New Roman" w:hAnsi="Times New Roman" w:eastAsia="仿宋" w:cs="仿宋"/>
                <w:sz w:val="28"/>
                <w:szCs w:val="28"/>
              </w:rPr>
            </w:pPr>
          </w:p>
        </w:tc>
      </w:tr>
      <w:tr w14:paraId="32F7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7" w:type="dxa"/>
            <w:noWrap w:val="0"/>
            <w:vAlign w:val="top"/>
          </w:tcPr>
          <w:p w14:paraId="337901D5">
            <w:pPr>
              <w:widowControl w:val="0"/>
              <w:jc w:val="both"/>
              <w:rPr>
                <w:rFonts w:hint="eastAsia" w:ascii="Times New Roman" w:hAnsi="Times New Roman" w:eastAsia="仿宋" w:cs="仿宋"/>
                <w:sz w:val="28"/>
                <w:szCs w:val="28"/>
              </w:rPr>
            </w:pPr>
          </w:p>
        </w:tc>
        <w:tc>
          <w:tcPr>
            <w:tcW w:w="4998" w:type="dxa"/>
            <w:noWrap w:val="0"/>
            <w:vAlign w:val="top"/>
          </w:tcPr>
          <w:p w14:paraId="6F7B9F1D">
            <w:pPr>
              <w:widowControl w:val="0"/>
              <w:jc w:val="both"/>
              <w:rPr>
                <w:rFonts w:hint="eastAsia" w:ascii="Times New Roman" w:hAnsi="Times New Roman" w:eastAsia="仿宋" w:cs="仿宋"/>
                <w:sz w:val="28"/>
                <w:szCs w:val="28"/>
              </w:rPr>
            </w:pPr>
          </w:p>
        </w:tc>
        <w:tc>
          <w:tcPr>
            <w:tcW w:w="1326" w:type="dxa"/>
            <w:noWrap w:val="0"/>
            <w:vAlign w:val="top"/>
          </w:tcPr>
          <w:p w14:paraId="69A644C7">
            <w:pPr>
              <w:widowControl w:val="0"/>
              <w:jc w:val="both"/>
              <w:rPr>
                <w:rFonts w:hint="eastAsia" w:ascii="Times New Roman" w:hAnsi="Times New Roman" w:eastAsia="仿宋" w:cs="仿宋"/>
                <w:sz w:val="28"/>
                <w:szCs w:val="28"/>
              </w:rPr>
            </w:pPr>
          </w:p>
        </w:tc>
      </w:tr>
      <w:tr w14:paraId="2C48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7" w:type="dxa"/>
            <w:noWrap w:val="0"/>
            <w:vAlign w:val="top"/>
          </w:tcPr>
          <w:p w14:paraId="53C6680C">
            <w:pPr>
              <w:widowControl w:val="0"/>
              <w:jc w:val="both"/>
              <w:rPr>
                <w:rFonts w:hint="eastAsia" w:ascii="Times New Roman" w:hAnsi="Times New Roman" w:eastAsia="仿宋" w:cs="仿宋"/>
                <w:sz w:val="28"/>
                <w:szCs w:val="28"/>
              </w:rPr>
            </w:pPr>
          </w:p>
        </w:tc>
        <w:tc>
          <w:tcPr>
            <w:tcW w:w="4998" w:type="dxa"/>
            <w:noWrap w:val="0"/>
            <w:vAlign w:val="top"/>
          </w:tcPr>
          <w:p w14:paraId="1A86A822">
            <w:pPr>
              <w:widowControl w:val="0"/>
              <w:jc w:val="both"/>
              <w:rPr>
                <w:rFonts w:hint="eastAsia" w:ascii="Times New Roman" w:hAnsi="Times New Roman" w:eastAsia="仿宋" w:cs="仿宋"/>
                <w:sz w:val="28"/>
                <w:szCs w:val="28"/>
              </w:rPr>
            </w:pPr>
          </w:p>
        </w:tc>
        <w:tc>
          <w:tcPr>
            <w:tcW w:w="1326" w:type="dxa"/>
            <w:noWrap w:val="0"/>
            <w:vAlign w:val="top"/>
          </w:tcPr>
          <w:p w14:paraId="4D910015">
            <w:pPr>
              <w:widowControl w:val="0"/>
              <w:jc w:val="both"/>
              <w:rPr>
                <w:rFonts w:hint="eastAsia" w:ascii="Times New Roman" w:hAnsi="Times New Roman" w:eastAsia="仿宋" w:cs="仿宋"/>
                <w:sz w:val="28"/>
                <w:szCs w:val="28"/>
              </w:rPr>
            </w:pPr>
          </w:p>
        </w:tc>
      </w:tr>
      <w:tr w14:paraId="22A2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7" w:type="dxa"/>
            <w:noWrap w:val="0"/>
            <w:vAlign w:val="top"/>
          </w:tcPr>
          <w:p w14:paraId="74C9A382">
            <w:pPr>
              <w:widowControl w:val="0"/>
              <w:jc w:val="both"/>
              <w:rPr>
                <w:rFonts w:hint="eastAsia" w:ascii="Times New Roman" w:hAnsi="Times New Roman" w:eastAsia="仿宋" w:cs="仿宋"/>
                <w:sz w:val="28"/>
                <w:szCs w:val="28"/>
              </w:rPr>
            </w:pPr>
          </w:p>
        </w:tc>
        <w:tc>
          <w:tcPr>
            <w:tcW w:w="4998" w:type="dxa"/>
            <w:noWrap w:val="0"/>
            <w:vAlign w:val="top"/>
          </w:tcPr>
          <w:p w14:paraId="1681E21F">
            <w:pPr>
              <w:widowControl w:val="0"/>
              <w:jc w:val="both"/>
              <w:rPr>
                <w:rFonts w:hint="eastAsia" w:ascii="Times New Roman" w:hAnsi="Times New Roman" w:eastAsia="仿宋" w:cs="仿宋"/>
                <w:sz w:val="28"/>
                <w:szCs w:val="28"/>
              </w:rPr>
            </w:pPr>
          </w:p>
        </w:tc>
        <w:tc>
          <w:tcPr>
            <w:tcW w:w="1326" w:type="dxa"/>
            <w:noWrap w:val="0"/>
            <w:vAlign w:val="top"/>
          </w:tcPr>
          <w:p w14:paraId="07299BC1">
            <w:pPr>
              <w:widowControl w:val="0"/>
              <w:jc w:val="both"/>
              <w:rPr>
                <w:rFonts w:hint="eastAsia" w:ascii="Times New Roman" w:hAnsi="Times New Roman" w:eastAsia="仿宋" w:cs="仿宋"/>
                <w:sz w:val="28"/>
                <w:szCs w:val="28"/>
              </w:rPr>
            </w:pPr>
          </w:p>
        </w:tc>
      </w:tr>
      <w:tr w14:paraId="3639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7" w:type="dxa"/>
            <w:noWrap w:val="0"/>
            <w:vAlign w:val="top"/>
          </w:tcPr>
          <w:p w14:paraId="55238A73">
            <w:pPr>
              <w:widowControl w:val="0"/>
              <w:jc w:val="both"/>
              <w:rPr>
                <w:rFonts w:hint="eastAsia" w:ascii="Times New Roman" w:hAnsi="Times New Roman" w:eastAsia="仿宋" w:cs="仿宋"/>
                <w:sz w:val="28"/>
                <w:szCs w:val="28"/>
              </w:rPr>
            </w:pPr>
          </w:p>
        </w:tc>
        <w:tc>
          <w:tcPr>
            <w:tcW w:w="4998" w:type="dxa"/>
            <w:noWrap w:val="0"/>
            <w:vAlign w:val="top"/>
          </w:tcPr>
          <w:p w14:paraId="4BEC721E">
            <w:pPr>
              <w:widowControl w:val="0"/>
              <w:jc w:val="both"/>
              <w:rPr>
                <w:rFonts w:hint="eastAsia" w:ascii="Times New Roman" w:hAnsi="Times New Roman" w:eastAsia="仿宋" w:cs="仿宋"/>
                <w:sz w:val="28"/>
                <w:szCs w:val="28"/>
              </w:rPr>
            </w:pPr>
          </w:p>
        </w:tc>
        <w:tc>
          <w:tcPr>
            <w:tcW w:w="1326" w:type="dxa"/>
            <w:noWrap w:val="0"/>
            <w:vAlign w:val="top"/>
          </w:tcPr>
          <w:p w14:paraId="677490EF">
            <w:pPr>
              <w:widowControl w:val="0"/>
              <w:jc w:val="both"/>
              <w:rPr>
                <w:rFonts w:hint="eastAsia" w:ascii="Times New Roman" w:hAnsi="Times New Roman" w:eastAsia="仿宋" w:cs="仿宋"/>
                <w:sz w:val="28"/>
                <w:szCs w:val="28"/>
              </w:rPr>
            </w:pPr>
          </w:p>
        </w:tc>
      </w:tr>
    </w:tbl>
    <w:p w14:paraId="7733DA75">
      <w:pPr>
        <w:rPr>
          <w:rFonts w:ascii="Times New Roman" w:hAnsi="Times New Roman"/>
        </w:rPr>
      </w:pPr>
    </w:p>
    <w:p w14:paraId="73004AF3">
      <w:pPr>
        <w:rPr>
          <w:rFonts w:hint="eastAsia" w:ascii="Times New Roman" w:hAnsi="Times New Roman" w:eastAsia="仿宋" w:cs="仿宋"/>
        </w:rPr>
      </w:pPr>
      <w:r>
        <w:rPr>
          <w:rFonts w:hint="eastAsia" w:ascii="Times New Roman" w:hAnsi="Times New Roman" w:eastAsia="仿宋" w:cs="仿宋"/>
        </w:rPr>
        <w:t>备注：</w:t>
      </w:r>
    </w:p>
    <w:p w14:paraId="4BA6225D">
      <w:pPr>
        <w:rPr>
          <w:rFonts w:hint="eastAsia" w:ascii="Times New Roman" w:hAnsi="Times New Roman" w:eastAsia="仿宋" w:cs="仿宋"/>
        </w:rPr>
      </w:pPr>
      <w:r>
        <w:rPr>
          <w:rFonts w:hint="eastAsia" w:ascii="Times New Roman" w:hAnsi="Times New Roman" w:eastAsia="仿宋" w:cs="仿宋"/>
        </w:rPr>
        <w:t>①参选人必须对自已所投产品或自身是否满足相关评分项目，在参选文件中逐项做出如实明确的应答，表明是否满足或正负偏离。</w:t>
      </w:r>
    </w:p>
    <w:p w14:paraId="4EE0CA79">
      <w:pPr>
        <w:rPr>
          <w:rFonts w:hint="eastAsia" w:ascii="Times New Roman" w:hAnsi="Times New Roman" w:eastAsia="仿宋" w:cs="仿宋"/>
        </w:rPr>
      </w:pPr>
      <w:r>
        <w:rPr>
          <w:rFonts w:hint="eastAsia" w:ascii="Times New Roman" w:hAnsi="Times New Roman" w:eastAsia="仿宋" w:cs="仿宋"/>
        </w:rPr>
        <w:t>②参选人应将比选文件中要求的如：各类证书等装订编列章节，并编制页码索引。同时参选人应在参选文件的应答部分明确说明各文件所在页码；以方便比选小组逐项翻阅查询。</w:t>
      </w:r>
    </w:p>
    <w:p w14:paraId="55679194">
      <w:pPr>
        <w:pStyle w:val="7"/>
        <w:rPr>
          <w:rFonts w:ascii="Times New Roman" w:hAnsi="Times New Roman" w:eastAsia="仿宋" w:cs="仿宋"/>
        </w:rPr>
      </w:pPr>
      <w:r>
        <w:rPr>
          <w:rFonts w:ascii="Times New Roman" w:hAnsi="Times New Roman" w:eastAsia="仿宋" w:cs="仿宋"/>
        </w:rPr>
        <w:t>③表格的“详见页码”可以是具体的页码、章节范围或者是全文。</w:t>
      </w:r>
    </w:p>
    <w:p w14:paraId="07C3B7BF">
      <w:pPr>
        <w:pStyle w:val="7"/>
        <w:rPr>
          <w:rFonts w:ascii="Times New Roman" w:hAnsi="Times New Roman" w:eastAsia="仿宋" w:cs="仿宋"/>
        </w:rPr>
      </w:pPr>
    </w:p>
    <w:p w14:paraId="02721B05">
      <w:pPr>
        <w:spacing w:line="360" w:lineRule="auto"/>
        <w:rPr>
          <w:rFonts w:ascii="Times New Roman" w:hAnsi="Times New Roman" w:eastAsia="仿宋"/>
        </w:rPr>
      </w:pPr>
      <w:r>
        <w:rPr>
          <w:rFonts w:hint="eastAsia" w:ascii="Times New Roman" w:hAnsi="Times New Roman" w:eastAsia="仿宋"/>
        </w:rPr>
        <w:t xml:space="preserve">                             参选人   </w:t>
      </w:r>
      <w:r>
        <w:rPr>
          <w:rFonts w:hint="eastAsia" w:ascii="Times New Roman" w:hAnsi="Times New Roman" w:eastAsia="仿宋"/>
          <w:u w:val="single"/>
        </w:rPr>
        <w:t xml:space="preserve">（全称并加盖公章）：      </w:t>
      </w:r>
    </w:p>
    <w:p w14:paraId="55A0682C">
      <w:pPr>
        <w:spacing w:line="360" w:lineRule="auto"/>
        <w:rPr>
          <w:rFonts w:ascii="Times New Roman" w:hAnsi="Times New Roman" w:eastAsia="仿宋"/>
          <w:u w:val="single"/>
        </w:rPr>
      </w:pPr>
      <w:r>
        <w:rPr>
          <w:rFonts w:hint="eastAsia" w:ascii="Times New Roman" w:hAnsi="Times New Roman" w:eastAsia="仿宋"/>
        </w:rPr>
        <w:t xml:space="preserve">                             参选人代表（签字或盖章）：</w:t>
      </w:r>
      <w:r>
        <w:rPr>
          <w:rFonts w:hint="eastAsia" w:ascii="Times New Roman" w:hAnsi="Times New Roman" w:eastAsia="仿宋"/>
          <w:u w:val="single"/>
        </w:rPr>
        <w:t xml:space="preserve">               </w:t>
      </w:r>
    </w:p>
    <w:p w14:paraId="6A02DE86">
      <w:pPr>
        <w:pStyle w:val="23"/>
        <w:rPr>
          <w:rFonts w:ascii="Times New Roman" w:hAnsi="Times New Roman"/>
        </w:rPr>
      </w:pPr>
      <w:r>
        <w:rPr>
          <w:rFonts w:hint="eastAsia" w:ascii="Times New Roman" w:hAnsi="Times New Roman"/>
        </w:rPr>
        <w:t xml:space="preserve">                             日期：</w:t>
      </w:r>
      <w:r>
        <w:rPr>
          <w:rFonts w:hint="eastAsia" w:ascii="Times New Roman" w:hAnsi="Times New Roman"/>
          <w:u w:val="single"/>
        </w:rPr>
        <w:t xml:space="preserve">       </w:t>
      </w:r>
    </w:p>
    <w:p w14:paraId="77498907">
      <w:pPr>
        <w:pStyle w:val="7"/>
        <w:rPr>
          <w:rFonts w:hint="default" w:ascii="Times New Roman" w:hAnsi="Times New Roman" w:eastAsia="仿宋" w:cs="仿宋"/>
          <w:color w:val="000000"/>
        </w:rPr>
        <w:sectPr>
          <w:pgSz w:w="11906" w:h="16838"/>
          <w:pgMar w:top="1440" w:right="1800" w:bottom="1440" w:left="1800" w:header="851" w:footer="992" w:gutter="0"/>
          <w:pgNumType w:fmt="numberInDash"/>
          <w:cols w:space="720" w:num="1"/>
          <w:docGrid w:type="lines" w:linePitch="312" w:charSpace="0"/>
        </w:sectPr>
      </w:pPr>
    </w:p>
    <w:p w14:paraId="7C73773C">
      <w:pPr>
        <w:jc w:val="both"/>
        <w:outlineLvl w:val="0"/>
        <w:rPr>
          <w:rFonts w:hint="eastAsia" w:ascii="Times New Roman" w:hAnsi="Times New Roman" w:eastAsia="仿宋" w:cs="仿宋"/>
          <w:b/>
          <w:bCs/>
          <w:color w:val="000000"/>
          <w:sz w:val="44"/>
          <w:szCs w:val="44"/>
        </w:rPr>
      </w:pPr>
      <w:bookmarkStart w:id="472" w:name="_Toc25546"/>
      <w:bookmarkStart w:id="473" w:name="_Toc9523"/>
      <w:r>
        <w:rPr>
          <w:rFonts w:hint="eastAsia" w:ascii="Times New Roman" w:hAnsi="Times New Roman" w:eastAsia="仿宋" w:cs="仿宋"/>
          <w:b/>
          <w:bCs/>
          <w:color w:val="000000"/>
          <w:sz w:val="44"/>
          <w:szCs w:val="44"/>
        </w:rPr>
        <w:t>附件十</w:t>
      </w:r>
      <w:r>
        <w:rPr>
          <w:rFonts w:hint="eastAsia" w:ascii="Times New Roman" w:hAnsi="Times New Roman" w:eastAsia="仿宋" w:cs="仿宋"/>
          <w:b/>
          <w:bCs/>
          <w:color w:val="000000"/>
          <w:sz w:val="44"/>
          <w:szCs w:val="44"/>
          <w:lang w:val="en-US" w:eastAsia="zh-CN"/>
        </w:rPr>
        <w:t xml:space="preserve">二 </w:t>
      </w:r>
      <w:r>
        <w:rPr>
          <w:rFonts w:hint="eastAsia" w:ascii="Times New Roman" w:hAnsi="Times New Roman" w:eastAsia="仿宋" w:cs="仿宋"/>
          <w:b/>
          <w:bCs/>
          <w:color w:val="000000"/>
          <w:sz w:val="44"/>
          <w:szCs w:val="44"/>
        </w:rPr>
        <w:t>其他技术及商务证明材料</w:t>
      </w:r>
      <w:bookmarkEnd w:id="472"/>
      <w:bookmarkEnd w:id="473"/>
    </w:p>
    <w:p w14:paraId="5B39154C">
      <w:pPr>
        <w:spacing w:line="420" w:lineRule="exact"/>
        <w:ind w:firstLine="480"/>
        <w:rPr>
          <w:rFonts w:ascii="Times New Roman" w:hAnsi="Times New Roman"/>
          <w:color w:val="000000"/>
        </w:rPr>
      </w:pPr>
    </w:p>
    <w:p w14:paraId="5CCE7724">
      <w:pPr>
        <w:spacing w:line="380" w:lineRule="exact"/>
        <w:ind w:firstLine="480" w:firstLineChars="200"/>
        <w:rPr>
          <w:rFonts w:ascii="Times New Roman" w:hAnsi="Times New Roman" w:eastAsia="仿宋" w:cs="仿宋"/>
          <w:color w:val="000000"/>
        </w:rPr>
      </w:pPr>
      <w:r>
        <w:rPr>
          <w:rFonts w:hint="eastAsia" w:ascii="Times New Roman" w:hAnsi="Times New Roman" w:eastAsia="仿宋" w:cs="仿宋"/>
          <w:color w:val="000000"/>
        </w:rPr>
        <w:t>参选人须根据比选文件中参选人需列的其它相关证明资料（复印件则均需加盖参选人单位公章)</w:t>
      </w:r>
    </w:p>
    <w:p w14:paraId="2E20FFD7">
      <w:pPr>
        <w:pStyle w:val="7"/>
        <w:rPr>
          <w:rFonts w:hint="default" w:ascii="Times New Roman" w:hAnsi="Times New Roman" w:eastAsia="仿宋" w:cs="仿宋"/>
          <w:color w:val="000000"/>
        </w:rPr>
      </w:pPr>
    </w:p>
    <w:p w14:paraId="2AF84E04">
      <w:pPr>
        <w:pStyle w:val="7"/>
        <w:rPr>
          <w:rFonts w:hint="default" w:ascii="Times New Roman" w:hAnsi="Times New Roman" w:eastAsia="仿宋" w:cs="仿宋"/>
          <w:color w:val="000000"/>
        </w:rPr>
      </w:pPr>
    </w:p>
    <w:p w14:paraId="29A49EEB">
      <w:pPr>
        <w:pStyle w:val="7"/>
        <w:rPr>
          <w:rFonts w:hint="default" w:ascii="Times New Roman" w:hAnsi="Times New Roman" w:eastAsia="仿宋" w:cs="仿宋"/>
          <w:color w:val="000000"/>
        </w:rPr>
      </w:pPr>
    </w:p>
    <w:p w14:paraId="09E2424D">
      <w:pPr>
        <w:pStyle w:val="7"/>
        <w:rPr>
          <w:rFonts w:ascii="Times New Roman" w:hAnsi="Times New Roman" w:eastAsia="仿宋" w:cs="仿宋"/>
          <w:color w:val="000000"/>
        </w:rPr>
      </w:pPr>
    </w:p>
    <w:p w14:paraId="61D41538"/>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2D048">
    <w:pPr>
      <w:pStyle w:val="10"/>
      <w:jc w:val="center"/>
    </w:pPr>
  </w:p>
  <w:p w14:paraId="520D46D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5AB8">
    <w:pPr>
      <w:pStyle w:val="10"/>
      <w:jc w:val="center"/>
    </w:pPr>
  </w:p>
  <w:p w14:paraId="16443B3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A8678">
    <w:pPr>
      <w:pStyle w:val="10"/>
      <w:jc w:val="center"/>
    </w:pPr>
  </w:p>
  <w:p w14:paraId="5F219391">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E7BF4">
    <w:pPr>
      <w:pStyle w:val="10"/>
      <w:jc w:val="center"/>
    </w:pPr>
  </w:p>
  <w:p w14:paraId="0F6ED98F">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1BBF">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1AF512">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41AF512">
                    <w:pPr>
                      <w:pStyle w:val="10"/>
                    </w:pPr>
                    <w:r>
                      <w:fldChar w:fldCharType="begin"/>
                    </w:r>
                    <w:r>
                      <w:instrText xml:space="preserve"> PAGE  \* MERGEFORMAT </w:instrText>
                    </w:r>
                    <w:r>
                      <w:fldChar w:fldCharType="separate"/>
                    </w:r>
                    <w:r>
                      <w:t>2</w:t>
                    </w:r>
                    <w:r>
                      <w:fldChar w:fldCharType="end"/>
                    </w:r>
                  </w:p>
                </w:txbxContent>
              </v:textbox>
            </v:shape>
          </w:pict>
        </mc:Fallback>
      </mc:AlternateContent>
    </w:r>
  </w:p>
  <w:p w14:paraId="7749715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00B5D">
    <w:pPr>
      <w:pStyle w:val="11"/>
      <w:jc w:val="left"/>
      <w:rPr>
        <w:rFonts w:ascii="仿宋" w:hAnsi="仿宋" w:eastAsia="仿宋" w:cs="仿宋"/>
      </w:rPr>
    </w:pPr>
    <w:r>
      <w:rPr>
        <w:rFonts w:hint="eastAsia" w:ascii="仿宋" w:hAnsi="仿宋" w:eastAsia="仿宋" w:cs="仿宋"/>
        <w:b/>
        <w:lang w:eastAsia="zh-CN"/>
      </w:rPr>
      <w:t>大屏显示系统建设项目</w:t>
    </w:r>
    <w:r>
      <w:rPr>
        <w:rFonts w:hint="eastAsia" w:ascii="仿宋" w:hAnsi="仿宋" w:eastAsia="仿宋" w:cs="仿宋"/>
        <w:b/>
      </w:rPr>
      <w:t>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FE7A8"/>
    <w:multiLevelType w:val="singleLevel"/>
    <w:tmpl w:val="AABFE7A8"/>
    <w:lvl w:ilvl="0" w:tentative="0">
      <w:start w:val="2"/>
      <w:numFmt w:val="chineseCounting"/>
      <w:suff w:val="nothing"/>
      <w:lvlText w:val="%1、"/>
      <w:lvlJc w:val="left"/>
      <w:rPr>
        <w:rFonts w:hint="eastAsia"/>
      </w:rPr>
    </w:lvl>
  </w:abstractNum>
  <w:abstractNum w:abstractNumId="1">
    <w:nsid w:val="BC5BE735"/>
    <w:multiLevelType w:val="singleLevel"/>
    <w:tmpl w:val="BC5BE735"/>
    <w:lvl w:ilvl="0" w:tentative="0">
      <w:start w:val="1"/>
      <w:numFmt w:val="decimal"/>
      <w:suff w:val="nothing"/>
      <w:lvlText w:val="%1．"/>
      <w:lvlJc w:val="left"/>
      <w:pPr>
        <w:ind w:left="0" w:firstLine="400"/>
      </w:pPr>
      <w:rPr>
        <w:rFonts w:hint="default"/>
      </w:rPr>
    </w:lvl>
  </w:abstractNum>
  <w:abstractNum w:abstractNumId="2">
    <w:nsid w:val="D07E9F83"/>
    <w:multiLevelType w:val="singleLevel"/>
    <w:tmpl w:val="D07E9F83"/>
    <w:lvl w:ilvl="0" w:tentative="0">
      <w:start w:val="1"/>
      <w:numFmt w:val="decimal"/>
      <w:suff w:val="nothing"/>
      <w:lvlText w:val="%1．"/>
      <w:lvlJc w:val="left"/>
      <w:pPr>
        <w:ind w:left="0" w:firstLine="400"/>
      </w:pPr>
      <w:rPr>
        <w:rFonts w:hint="default"/>
      </w:rPr>
    </w:lvl>
  </w:abstractNum>
  <w:abstractNum w:abstractNumId="3">
    <w:nsid w:val="FE047D55"/>
    <w:multiLevelType w:val="singleLevel"/>
    <w:tmpl w:val="FE047D55"/>
    <w:lvl w:ilvl="0" w:tentative="0">
      <w:start w:val="4"/>
      <w:numFmt w:val="chineseCounting"/>
      <w:suff w:val="space"/>
      <w:lvlText w:val="第%1章"/>
      <w:lvlJc w:val="left"/>
      <w:rPr>
        <w:rFonts w:hint="eastAsia"/>
      </w:rPr>
    </w:lvl>
  </w:abstractNum>
  <w:abstractNum w:abstractNumId="4">
    <w:nsid w:val="03E04F1A"/>
    <w:multiLevelType w:val="singleLevel"/>
    <w:tmpl w:val="03E04F1A"/>
    <w:lvl w:ilvl="0" w:tentative="0">
      <w:start w:val="2"/>
      <w:numFmt w:val="chineseCounting"/>
      <w:suff w:val="nothing"/>
      <w:lvlText w:val="%1、"/>
      <w:lvlJc w:val="left"/>
      <w:rPr>
        <w:rFonts w:hint="eastAsia"/>
      </w:rPr>
    </w:lvl>
  </w:abstractNum>
  <w:abstractNum w:abstractNumId="5">
    <w:nsid w:val="05B635F1"/>
    <w:multiLevelType w:val="singleLevel"/>
    <w:tmpl w:val="05B635F1"/>
    <w:lvl w:ilvl="0" w:tentative="0">
      <w:start w:val="1"/>
      <w:numFmt w:val="decimal"/>
      <w:suff w:val="nothing"/>
      <w:lvlText w:val="%1．"/>
      <w:lvlJc w:val="left"/>
      <w:pPr>
        <w:ind w:left="0" w:firstLine="400"/>
      </w:pPr>
      <w:rPr>
        <w:rFonts w:hint="default"/>
      </w:rPr>
    </w:lvl>
  </w:abstractNum>
  <w:abstractNum w:abstractNumId="6">
    <w:nsid w:val="2B8ABEE5"/>
    <w:multiLevelType w:val="singleLevel"/>
    <w:tmpl w:val="2B8ABEE5"/>
    <w:lvl w:ilvl="0" w:tentative="0">
      <w:start w:val="1"/>
      <w:numFmt w:val="decimal"/>
      <w:suff w:val="nothing"/>
      <w:lvlText w:val="%1．"/>
      <w:lvlJc w:val="left"/>
      <w:pPr>
        <w:ind w:left="0" w:firstLine="400"/>
      </w:pPr>
      <w:rPr>
        <w:rFonts w:hint="default"/>
      </w:rPr>
    </w:lvl>
  </w:abstractNum>
  <w:abstractNum w:abstractNumId="7">
    <w:nsid w:val="5A4EBE7B"/>
    <w:multiLevelType w:val="singleLevel"/>
    <w:tmpl w:val="5A4EBE7B"/>
    <w:lvl w:ilvl="0" w:tentative="0">
      <w:start w:val="1"/>
      <w:numFmt w:val="chineseCounting"/>
      <w:suff w:val="nothing"/>
      <w:lvlText w:val="%1、"/>
      <w:lvlJc w:val="left"/>
      <w:rPr>
        <w:rFonts w:hint="eastAsia"/>
      </w:rPr>
    </w:lvl>
  </w:abstractNum>
  <w:abstractNum w:abstractNumId="8">
    <w:nsid w:val="61C581AE"/>
    <w:multiLevelType w:val="singleLevel"/>
    <w:tmpl w:val="61C581AE"/>
    <w:lvl w:ilvl="0" w:tentative="0">
      <w:start w:val="1"/>
      <w:numFmt w:val="decimalEnclosedCircleChinese"/>
      <w:suff w:val="nothing"/>
      <w:lvlText w:val="%1　"/>
      <w:lvlJc w:val="left"/>
      <w:pPr>
        <w:ind w:left="0" w:firstLine="400"/>
      </w:pPr>
      <w:rPr>
        <w:rFonts w:hint="eastAsia"/>
      </w:rPr>
    </w:lvl>
  </w:abstractNum>
  <w:abstractNum w:abstractNumId="9">
    <w:nsid w:val="61C90D2A"/>
    <w:multiLevelType w:val="singleLevel"/>
    <w:tmpl w:val="61C90D2A"/>
    <w:lvl w:ilvl="0" w:tentative="0">
      <w:start w:val="1"/>
      <w:numFmt w:val="decimal"/>
      <w:suff w:val="nothing"/>
      <w:lvlText w:val="%1．"/>
      <w:lvlJc w:val="left"/>
      <w:pPr>
        <w:ind w:left="0" w:firstLine="400"/>
      </w:pPr>
      <w:rPr>
        <w:rFonts w:hint="default"/>
      </w:rPr>
    </w:lvl>
  </w:abstractNum>
  <w:abstractNum w:abstractNumId="10">
    <w:nsid w:val="61C90EA5"/>
    <w:multiLevelType w:val="singleLevel"/>
    <w:tmpl w:val="61C90EA5"/>
    <w:lvl w:ilvl="0" w:tentative="0">
      <w:start w:val="1"/>
      <w:numFmt w:val="decimal"/>
      <w:suff w:val="nothing"/>
      <w:lvlText w:val="%1．"/>
      <w:lvlJc w:val="left"/>
      <w:pPr>
        <w:ind w:left="0" w:firstLine="400"/>
      </w:pPr>
      <w:rPr>
        <w:rFonts w:hint="default"/>
      </w:rPr>
    </w:lvl>
  </w:abstractNum>
  <w:abstractNum w:abstractNumId="11">
    <w:nsid w:val="61C90F4F"/>
    <w:multiLevelType w:val="singleLevel"/>
    <w:tmpl w:val="61C90F4F"/>
    <w:lvl w:ilvl="0" w:tentative="0">
      <w:start w:val="1"/>
      <w:numFmt w:val="decimal"/>
      <w:suff w:val="nothing"/>
      <w:lvlText w:val="%1．"/>
      <w:lvlJc w:val="left"/>
      <w:pPr>
        <w:ind w:left="0" w:firstLine="400"/>
      </w:pPr>
      <w:rPr>
        <w:rFonts w:hint="default"/>
      </w:rPr>
    </w:lvl>
  </w:abstractNum>
  <w:abstractNum w:abstractNumId="12">
    <w:nsid w:val="61C910B7"/>
    <w:multiLevelType w:val="singleLevel"/>
    <w:tmpl w:val="61C910B7"/>
    <w:lvl w:ilvl="0" w:tentative="0">
      <w:start w:val="1"/>
      <w:numFmt w:val="decimal"/>
      <w:suff w:val="nothing"/>
      <w:lvlText w:val="%1．"/>
      <w:lvlJc w:val="left"/>
      <w:pPr>
        <w:ind w:left="0" w:firstLine="400"/>
      </w:pPr>
      <w:rPr>
        <w:rFonts w:hint="default"/>
      </w:rPr>
    </w:lvl>
  </w:abstractNum>
  <w:abstractNum w:abstractNumId="13">
    <w:nsid w:val="61C910E0"/>
    <w:multiLevelType w:val="singleLevel"/>
    <w:tmpl w:val="61C910E0"/>
    <w:lvl w:ilvl="0" w:tentative="0">
      <w:start w:val="1"/>
      <w:numFmt w:val="decimal"/>
      <w:suff w:val="nothing"/>
      <w:lvlText w:val="%1．"/>
      <w:lvlJc w:val="left"/>
      <w:pPr>
        <w:ind w:left="0" w:firstLine="400"/>
      </w:pPr>
      <w:rPr>
        <w:rFonts w:hint="default"/>
      </w:rPr>
    </w:lvl>
  </w:abstractNum>
  <w:abstractNum w:abstractNumId="14">
    <w:nsid w:val="61C91106"/>
    <w:multiLevelType w:val="singleLevel"/>
    <w:tmpl w:val="61C91106"/>
    <w:lvl w:ilvl="0" w:tentative="0">
      <w:start w:val="1"/>
      <w:numFmt w:val="decimal"/>
      <w:suff w:val="nothing"/>
      <w:lvlText w:val="%1．"/>
      <w:lvlJc w:val="left"/>
      <w:pPr>
        <w:ind w:left="0" w:firstLine="400"/>
      </w:pPr>
      <w:rPr>
        <w:rFonts w:hint="default"/>
      </w:rPr>
    </w:lvl>
  </w:abstractNum>
  <w:abstractNum w:abstractNumId="15">
    <w:nsid w:val="61C91663"/>
    <w:multiLevelType w:val="singleLevel"/>
    <w:tmpl w:val="61C91663"/>
    <w:lvl w:ilvl="0" w:tentative="0">
      <w:start w:val="1"/>
      <w:numFmt w:val="decimal"/>
      <w:suff w:val="nothing"/>
      <w:lvlText w:val="%1．"/>
      <w:lvlJc w:val="left"/>
      <w:pPr>
        <w:ind w:left="0" w:firstLine="400"/>
      </w:pPr>
      <w:rPr>
        <w:rFonts w:hint="default"/>
      </w:rPr>
    </w:lvl>
  </w:abstractNum>
  <w:abstractNum w:abstractNumId="16">
    <w:nsid w:val="61C9167D"/>
    <w:multiLevelType w:val="singleLevel"/>
    <w:tmpl w:val="61C9167D"/>
    <w:lvl w:ilvl="0" w:tentative="0">
      <w:start w:val="1"/>
      <w:numFmt w:val="decimal"/>
      <w:suff w:val="nothing"/>
      <w:lvlText w:val="%1．"/>
      <w:lvlJc w:val="left"/>
      <w:pPr>
        <w:ind w:left="0" w:firstLine="400"/>
      </w:pPr>
      <w:rPr>
        <w:rFonts w:hint="default"/>
      </w:rPr>
    </w:lvl>
  </w:abstractNum>
  <w:abstractNum w:abstractNumId="17">
    <w:nsid w:val="61C91698"/>
    <w:multiLevelType w:val="singleLevel"/>
    <w:tmpl w:val="61C91698"/>
    <w:lvl w:ilvl="0" w:tentative="0">
      <w:start w:val="1"/>
      <w:numFmt w:val="decimal"/>
      <w:suff w:val="nothing"/>
      <w:lvlText w:val="%1．"/>
      <w:lvlJc w:val="left"/>
      <w:pPr>
        <w:ind w:left="0" w:firstLine="400"/>
      </w:pPr>
      <w:rPr>
        <w:rFonts w:hint="default"/>
      </w:rPr>
    </w:lvl>
  </w:abstractNum>
  <w:abstractNum w:abstractNumId="18">
    <w:nsid w:val="61C916AF"/>
    <w:multiLevelType w:val="singleLevel"/>
    <w:tmpl w:val="61C916AF"/>
    <w:lvl w:ilvl="0" w:tentative="0">
      <w:start w:val="1"/>
      <w:numFmt w:val="decimal"/>
      <w:suff w:val="nothing"/>
      <w:lvlText w:val="%1．"/>
      <w:lvlJc w:val="left"/>
      <w:pPr>
        <w:ind w:left="0" w:firstLine="400"/>
      </w:pPr>
      <w:rPr>
        <w:rFonts w:hint="default"/>
      </w:rPr>
    </w:lvl>
  </w:abstractNum>
  <w:abstractNum w:abstractNumId="19">
    <w:nsid w:val="61C916D5"/>
    <w:multiLevelType w:val="singleLevel"/>
    <w:tmpl w:val="61C916D5"/>
    <w:lvl w:ilvl="0" w:tentative="0">
      <w:start w:val="1"/>
      <w:numFmt w:val="decimal"/>
      <w:suff w:val="nothing"/>
      <w:lvlText w:val="%1．"/>
      <w:lvlJc w:val="left"/>
      <w:pPr>
        <w:ind w:left="0" w:firstLine="400"/>
      </w:pPr>
      <w:rPr>
        <w:rFonts w:hint="default"/>
      </w:rPr>
    </w:lvl>
  </w:abstractNum>
  <w:abstractNum w:abstractNumId="20">
    <w:nsid w:val="62287A3B"/>
    <w:multiLevelType w:val="singleLevel"/>
    <w:tmpl w:val="62287A3B"/>
    <w:lvl w:ilvl="0" w:tentative="0">
      <w:start w:val="1"/>
      <w:numFmt w:val="decimal"/>
      <w:suff w:val="nothing"/>
      <w:lvlText w:val="%1．"/>
      <w:lvlJc w:val="left"/>
      <w:pPr>
        <w:ind w:left="0" w:firstLine="400"/>
      </w:pPr>
      <w:rPr>
        <w:rFonts w:hint="default"/>
      </w:rPr>
    </w:lvl>
  </w:abstractNum>
  <w:num w:numId="1">
    <w:abstractNumId w:val="9"/>
  </w:num>
  <w:num w:numId="2">
    <w:abstractNumId w:val="0"/>
  </w:num>
  <w:num w:numId="3">
    <w:abstractNumId w:val="10"/>
  </w:num>
  <w:num w:numId="4">
    <w:abstractNumId w:val="11"/>
  </w:num>
  <w:num w:numId="5">
    <w:abstractNumId w:val="12"/>
  </w:num>
  <w:num w:numId="6">
    <w:abstractNumId w:val="13"/>
  </w:num>
  <w:num w:numId="7">
    <w:abstractNumId w:val="14"/>
  </w:num>
  <w:num w:numId="8">
    <w:abstractNumId w:val="4"/>
  </w:num>
  <w:num w:numId="9">
    <w:abstractNumId w:val="3"/>
  </w:num>
  <w:num w:numId="10">
    <w:abstractNumId w:val="15"/>
  </w:num>
  <w:num w:numId="11">
    <w:abstractNumId w:val="16"/>
  </w:num>
  <w:num w:numId="12">
    <w:abstractNumId w:val="17"/>
  </w:num>
  <w:num w:numId="13">
    <w:abstractNumId w:val="18"/>
  </w:num>
  <w:num w:numId="14">
    <w:abstractNumId w:val="20"/>
  </w:num>
  <w:num w:numId="15">
    <w:abstractNumId w:val="8"/>
  </w:num>
  <w:num w:numId="16">
    <w:abstractNumId w:val="19"/>
  </w:num>
  <w:num w:numId="17">
    <w:abstractNumId w:val="7"/>
  </w:num>
  <w:num w:numId="18">
    <w:abstractNumId w:val="5"/>
  </w:num>
  <w:num w:numId="19">
    <w:abstractNumId w:val="6"/>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421D6E"/>
    <w:rsid w:val="010B09AC"/>
    <w:rsid w:val="02125B34"/>
    <w:rsid w:val="027653BD"/>
    <w:rsid w:val="037A226B"/>
    <w:rsid w:val="03A40BBA"/>
    <w:rsid w:val="03B311CF"/>
    <w:rsid w:val="048550B3"/>
    <w:rsid w:val="05192149"/>
    <w:rsid w:val="05C26DA0"/>
    <w:rsid w:val="05D36B91"/>
    <w:rsid w:val="064E6EC7"/>
    <w:rsid w:val="06A10FD1"/>
    <w:rsid w:val="06DD5138"/>
    <w:rsid w:val="076300CE"/>
    <w:rsid w:val="07AD40C1"/>
    <w:rsid w:val="082A646E"/>
    <w:rsid w:val="08B96DA8"/>
    <w:rsid w:val="0988465A"/>
    <w:rsid w:val="09A31DD2"/>
    <w:rsid w:val="09D73678"/>
    <w:rsid w:val="09D75426"/>
    <w:rsid w:val="0A0A29AB"/>
    <w:rsid w:val="0A20096D"/>
    <w:rsid w:val="0B0121B7"/>
    <w:rsid w:val="0B3B6D0B"/>
    <w:rsid w:val="0B5F3925"/>
    <w:rsid w:val="0BDE0664"/>
    <w:rsid w:val="0C5B3AF9"/>
    <w:rsid w:val="0CD832A2"/>
    <w:rsid w:val="0D27015E"/>
    <w:rsid w:val="0D3A117D"/>
    <w:rsid w:val="0D6945E7"/>
    <w:rsid w:val="0D99476A"/>
    <w:rsid w:val="0DC03822"/>
    <w:rsid w:val="0EA578A0"/>
    <w:rsid w:val="0FC126CF"/>
    <w:rsid w:val="0FF63814"/>
    <w:rsid w:val="102939FD"/>
    <w:rsid w:val="102B0279"/>
    <w:rsid w:val="10470360"/>
    <w:rsid w:val="10B94DCF"/>
    <w:rsid w:val="118A0FD0"/>
    <w:rsid w:val="11B05467"/>
    <w:rsid w:val="12AA7B7B"/>
    <w:rsid w:val="1312127D"/>
    <w:rsid w:val="137333F8"/>
    <w:rsid w:val="13871C6A"/>
    <w:rsid w:val="13FC4915"/>
    <w:rsid w:val="14202F5F"/>
    <w:rsid w:val="1442760C"/>
    <w:rsid w:val="147248AC"/>
    <w:rsid w:val="14A95C11"/>
    <w:rsid w:val="14AB1989"/>
    <w:rsid w:val="14BC27A4"/>
    <w:rsid w:val="14C90EE6"/>
    <w:rsid w:val="1523533D"/>
    <w:rsid w:val="1537019C"/>
    <w:rsid w:val="153C3A30"/>
    <w:rsid w:val="156C55BC"/>
    <w:rsid w:val="16082F1F"/>
    <w:rsid w:val="162453A5"/>
    <w:rsid w:val="16506CFC"/>
    <w:rsid w:val="1719707D"/>
    <w:rsid w:val="174A1E03"/>
    <w:rsid w:val="174F484D"/>
    <w:rsid w:val="176C3078"/>
    <w:rsid w:val="17C06AD6"/>
    <w:rsid w:val="18194E5B"/>
    <w:rsid w:val="189F7A56"/>
    <w:rsid w:val="18A230A3"/>
    <w:rsid w:val="1A051160"/>
    <w:rsid w:val="1AA3551A"/>
    <w:rsid w:val="1B6A2CAA"/>
    <w:rsid w:val="1C0843BD"/>
    <w:rsid w:val="1C185B56"/>
    <w:rsid w:val="1C9D24FF"/>
    <w:rsid w:val="1CE4737F"/>
    <w:rsid w:val="1DCF1D30"/>
    <w:rsid w:val="1DEB7FDF"/>
    <w:rsid w:val="1DFB7F65"/>
    <w:rsid w:val="1E025946"/>
    <w:rsid w:val="1E854FF8"/>
    <w:rsid w:val="1E890F8D"/>
    <w:rsid w:val="1ED54139"/>
    <w:rsid w:val="1EFC19B9"/>
    <w:rsid w:val="1F0B19A2"/>
    <w:rsid w:val="1F3048DC"/>
    <w:rsid w:val="1FFF4903"/>
    <w:rsid w:val="210A7A37"/>
    <w:rsid w:val="21D95D87"/>
    <w:rsid w:val="232E2103"/>
    <w:rsid w:val="234B50C5"/>
    <w:rsid w:val="237F64BA"/>
    <w:rsid w:val="24235517"/>
    <w:rsid w:val="24AE4C53"/>
    <w:rsid w:val="255552F4"/>
    <w:rsid w:val="260333D3"/>
    <w:rsid w:val="264779F7"/>
    <w:rsid w:val="26A5448A"/>
    <w:rsid w:val="26EF3957"/>
    <w:rsid w:val="27144997"/>
    <w:rsid w:val="27A961FC"/>
    <w:rsid w:val="27EC60E8"/>
    <w:rsid w:val="28675361"/>
    <w:rsid w:val="2959155B"/>
    <w:rsid w:val="296E42B6"/>
    <w:rsid w:val="29D172A5"/>
    <w:rsid w:val="2A3D701E"/>
    <w:rsid w:val="2A467D32"/>
    <w:rsid w:val="2B5F0400"/>
    <w:rsid w:val="2B822FEC"/>
    <w:rsid w:val="2BA50A88"/>
    <w:rsid w:val="2C4627F2"/>
    <w:rsid w:val="2CE55F6D"/>
    <w:rsid w:val="2DB66F7C"/>
    <w:rsid w:val="2F04311D"/>
    <w:rsid w:val="2FDA49E3"/>
    <w:rsid w:val="2FDE0A0C"/>
    <w:rsid w:val="303152F2"/>
    <w:rsid w:val="30973638"/>
    <w:rsid w:val="309B3588"/>
    <w:rsid w:val="311C359A"/>
    <w:rsid w:val="31243D32"/>
    <w:rsid w:val="320F30FF"/>
    <w:rsid w:val="327B2543"/>
    <w:rsid w:val="328F7345"/>
    <w:rsid w:val="335D7E9A"/>
    <w:rsid w:val="336D0C3D"/>
    <w:rsid w:val="339F7436"/>
    <w:rsid w:val="34014CC9"/>
    <w:rsid w:val="340901A8"/>
    <w:rsid w:val="341669C7"/>
    <w:rsid w:val="34803BAB"/>
    <w:rsid w:val="34AF7D1A"/>
    <w:rsid w:val="34C74165"/>
    <w:rsid w:val="34CF6B76"/>
    <w:rsid w:val="359B2B19"/>
    <w:rsid w:val="36266C69"/>
    <w:rsid w:val="363A3C2D"/>
    <w:rsid w:val="372B3722"/>
    <w:rsid w:val="376249DC"/>
    <w:rsid w:val="377753EA"/>
    <w:rsid w:val="37C47A65"/>
    <w:rsid w:val="384D672F"/>
    <w:rsid w:val="3A6A7A6C"/>
    <w:rsid w:val="3B3911ED"/>
    <w:rsid w:val="3BD11425"/>
    <w:rsid w:val="3C3A6FCB"/>
    <w:rsid w:val="3C5207B8"/>
    <w:rsid w:val="3C593370"/>
    <w:rsid w:val="3C601127"/>
    <w:rsid w:val="3CA162EA"/>
    <w:rsid w:val="3D3E2AEA"/>
    <w:rsid w:val="3E045AE2"/>
    <w:rsid w:val="3E1D6FEE"/>
    <w:rsid w:val="3E2609B2"/>
    <w:rsid w:val="3FA4396D"/>
    <w:rsid w:val="3FB15F16"/>
    <w:rsid w:val="3FE639A2"/>
    <w:rsid w:val="400C6ED0"/>
    <w:rsid w:val="40E165AE"/>
    <w:rsid w:val="4108225C"/>
    <w:rsid w:val="4117309D"/>
    <w:rsid w:val="41483F38"/>
    <w:rsid w:val="41800E05"/>
    <w:rsid w:val="4190546D"/>
    <w:rsid w:val="420662CD"/>
    <w:rsid w:val="422B5210"/>
    <w:rsid w:val="42323BE4"/>
    <w:rsid w:val="42710A18"/>
    <w:rsid w:val="42856EE8"/>
    <w:rsid w:val="436A0961"/>
    <w:rsid w:val="43DB0122"/>
    <w:rsid w:val="440C0BF6"/>
    <w:rsid w:val="44AB315B"/>
    <w:rsid w:val="45D67D64"/>
    <w:rsid w:val="46327ECF"/>
    <w:rsid w:val="46340F2E"/>
    <w:rsid w:val="47462CC7"/>
    <w:rsid w:val="47547C8B"/>
    <w:rsid w:val="477C1158"/>
    <w:rsid w:val="47AC626D"/>
    <w:rsid w:val="47FE17F4"/>
    <w:rsid w:val="48B0193B"/>
    <w:rsid w:val="499410ED"/>
    <w:rsid w:val="49C36851"/>
    <w:rsid w:val="49D024C2"/>
    <w:rsid w:val="4A653DAC"/>
    <w:rsid w:val="4A8A736F"/>
    <w:rsid w:val="4B5736F5"/>
    <w:rsid w:val="4C285091"/>
    <w:rsid w:val="4C3D1A0D"/>
    <w:rsid w:val="4C787B8A"/>
    <w:rsid w:val="4CE94821"/>
    <w:rsid w:val="4D6B0587"/>
    <w:rsid w:val="4D822746"/>
    <w:rsid w:val="4DAE16AC"/>
    <w:rsid w:val="4DC86B2C"/>
    <w:rsid w:val="4FB24F5B"/>
    <w:rsid w:val="4FD572DE"/>
    <w:rsid w:val="501C315F"/>
    <w:rsid w:val="501E5013"/>
    <w:rsid w:val="50BC3FFA"/>
    <w:rsid w:val="51581F75"/>
    <w:rsid w:val="518F170F"/>
    <w:rsid w:val="52546CFC"/>
    <w:rsid w:val="53181F55"/>
    <w:rsid w:val="537C4F4F"/>
    <w:rsid w:val="53B353F7"/>
    <w:rsid w:val="54462AAE"/>
    <w:rsid w:val="55621614"/>
    <w:rsid w:val="558C4421"/>
    <w:rsid w:val="55AA7A38"/>
    <w:rsid w:val="560D130C"/>
    <w:rsid w:val="56723AD9"/>
    <w:rsid w:val="570965E4"/>
    <w:rsid w:val="570A5ABF"/>
    <w:rsid w:val="57E1677C"/>
    <w:rsid w:val="5812294D"/>
    <w:rsid w:val="582227B7"/>
    <w:rsid w:val="58904191"/>
    <w:rsid w:val="59B60181"/>
    <w:rsid w:val="59E7767C"/>
    <w:rsid w:val="5A0E1D6B"/>
    <w:rsid w:val="5A5C0D28"/>
    <w:rsid w:val="5A913280"/>
    <w:rsid w:val="5B280C0A"/>
    <w:rsid w:val="5BBC5376"/>
    <w:rsid w:val="5BCB0874"/>
    <w:rsid w:val="5BF81968"/>
    <w:rsid w:val="5C7D171D"/>
    <w:rsid w:val="5DC015CE"/>
    <w:rsid w:val="5E0314BA"/>
    <w:rsid w:val="5E476F68"/>
    <w:rsid w:val="5E671A49"/>
    <w:rsid w:val="5EE130B9"/>
    <w:rsid w:val="5F8B4DEB"/>
    <w:rsid w:val="5FD21144"/>
    <w:rsid w:val="602A0F80"/>
    <w:rsid w:val="603618B0"/>
    <w:rsid w:val="60896FEF"/>
    <w:rsid w:val="611F7F72"/>
    <w:rsid w:val="614568A9"/>
    <w:rsid w:val="618E08DE"/>
    <w:rsid w:val="61A43C29"/>
    <w:rsid w:val="61E15FB7"/>
    <w:rsid w:val="624122FF"/>
    <w:rsid w:val="624E1F41"/>
    <w:rsid w:val="63225184"/>
    <w:rsid w:val="634E7C05"/>
    <w:rsid w:val="637F4BC6"/>
    <w:rsid w:val="648578FA"/>
    <w:rsid w:val="64DE058B"/>
    <w:rsid w:val="650C394C"/>
    <w:rsid w:val="65130D39"/>
    <w:rsid w:val="65A173C1"/>
    <w:rsid w:val="66282AD4"/>
    <w:rsid w:val="662C4499"/>
    <w:rsid w:val="6684054E"/>
    <w:rsid w:val="670C09A8"/>
    <w:rsid w:val="689B2F2E"/>
    <w:rsid w:val="69BD10B7"/>
    <w:rsid w:val="6A397B11"/>
    <w:rsid w:val="6A471F7E"/>
    <w:rsid w:val="6A8B2D2D"/>
    <w:rsid w:val="6A9A5AB8"/>
    <w:rsid w:val="6AEB755E"/>
    <w:rsid w:val="6C2E3BA6"/>
    <w:rsid w:val="6C445178"/>
    <w:rsid w:val="6C455512"/>
    <w:rsid w:val="6C531AE8"/>
    <w:rsid w:val="6CA64BB5"/>
    <w:rsid w:val="6D252A1B"/>
    <w:rsid w:val="6E6E472E"/>
    <w:rsid w:val="6F2D45E9"/>
    <w:rsid w:val="6FBD3BBF"/>
    <w:rsid w:val="702B176E"/>
    <w:rsid w:val="7134785E"/>
    <w:rsid w:val="71793B16"/>
    <w:rsid w:val="727C3155"/>
    <w:rsid w:val="73010267"/>
    <w:rsid w:val="7417661F"/>
    <w:rsid w:val="74B83297"/>
    <w:rsid w:val="750C4CA1"/>
    <w:rsid w:val="75E05324"/>
    <w:rsid w:val="773329B9"/>
    <w:rsid w:val="77381D7D"/>
    <w:rsid w:val="779B2445"/>
    <w:rsid w:val="77F3308B"/>
    <w:rsid w:val="77F4039A"/>
    <w:rsid w:val="77F93C6D"/>
    <w:rsid w:val="78760DAF"/>
    <w:rsid w:val="7977760A"/>
    <w:rsid w:val="79A656C4"/>
    <w:rsid w:val="79CC49FF"/>
    <w:rsid w:val="7A320D06"/>
    <w:rsid w:val="7B1D73A2"/>
    <w:rsid w:val="7BEF155E"/>
    <w:rsid w:val="7E472E89"/>
    <w:rsid w:val="7ECB34D7"/>
    <w:rsid w:val="7EFC7B34"/>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line="360" w:lineRule="auto"/>
      <w:jc w:val="both"/>
      <w:outlineLvl w:val="0"/>
    </w:pPr>
    <w:rPr>
      <w:rFonts w:ascii="Times New Roman" w:hAnsi="Times New Roman" w:cs="Times New Roman"/>
      <w:b/>
      <w:caps/>
      <w:szCs w:val="20"/>
      <w:u w:val="single"/>
      <w:lang w:eastAsia="en-US"/>
    </w:rPr>
  </w:style>
  <w:style w:type="paragraph" w:styleId="3">
    <w:name w:val="heading 2"/>
    <w:basedOn w:val="1"/>
    <w:next w:val="4"/>
    <w:qFormat/>
    <w:uiPriority w:val="9"/>
    <w:pPr>
      <w:keepNext/>
      <w:keepLines/>
      <w:widowControl w:val="0"/>
      <w:spacing w:before="260" w:after="260" w:line="416" w:lineRule="auto"/>
      <w:jc w:val="both"/>
      <w:outlineLvl w:val="1"/>
    </w:pPr>
    <w:rPr>
      <w:rFonts w:ascii="Cambria" w:hAnsi="Cambria" w:cs="Times New Roman"/>
      <w:b/>
      <w:bCs/>
      <w:kern w:val="2"/>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4">
    <w:name w:val="AA正文"/>
    <w:basedOn w:val="1"/>
    <w:qFormat/>
    <w:uiPriority w:val="0"/>
    <w:pPr>
      <w:widowControl w:val="0"/>
      <w:snapToGrid w:val="0"/>
      <w:spacing w:line="360" w:lineRule="auto"/>
      <w:ind w:right="240" w:firstLine="480" w:firstLineChars="200"/>
      <w:jc w:val="both"/>
    </w:pPr>
    <w:rPr>
      <w:rFonts w:ascii="Times New Roman" w:hAnsi="Times New Roman" w:cs="Times New Roman"/>
      <w:kern w:val="2"/>
      <w:szCs w:val="21"/>
    </w:rPr>
  </w:style>
  <w:style w:type="paragraph" w:styleId="5">
    <w:name w:val="Normal Indent"/>
    <w:basedOn w:val="1"/>
    <w:qFormat/>
    <w:uiPriority w:val="0"/>
    <w:pPr>
      <w:widowControl w:val="0"/>
      <w:autoSpaceDE w:val="0"/>
      <w:autoSpaceDN w:val="0"/>
      <w:adjustRightInd w:val="0"/>
      <w:spacing w:line="360" w:lineRule="auto"/>
      <w:ind w:firstLine="420"/>
      <w:jc w:val="both"/>
    </w:pPr>
    <w:rPr>
      <w:rFonts w:hAnsi="Calibri" w:eastAsia="仿宋" w:cs="Times New Roman"/>
      <w:kern w:val="2"/>
    </w:rPr>
  </w:style>
  <w:style w:type="paragraph" w:styleId="6">
    <w:name w:val="annotation text"/>
    <w:basedOn w:val="1"/>
    <w:qFormat/>
    <w:uiPriority w:val="0"/>
    <w:pPr>
      <w:jc w:val="left"/>
    </w:pPr>
  </w:style>
  <w:style w:type="paragraph" w:styleId="7">
    <w:name w:val="Body Text"/>
    <w:basedOn w:val="1"/>
    <w:qFormat/>
    <w:uiPriority w:val="0"/>
    <w:pPr>
      <w:widowControl w:val="0"/>
      <w:tabs>
        <w:tab w:val="left" w:pos="567"/>
      </w:tabs>
      <w:spacing w:before="120" w:line="22" w:lineRule="atLeast"/>
      <w:jc w:val="both"/>
    </w:pPr>
    <w:rPr>
      <w:rFonts w:hint="eastAsia" w:cs="Times New Roman"/>
      <w:kern w:val="2"/>
      <w:szCs w:val="20"/>
    </w:rPr>
  </w:style>
  <w:style w:type="paragraph" w:styleId="8">
    <w:name w:val="Plain Text"/>
    <w:basedOn w:val="1"/>
    <w:qFormat/>
    <w:uiPriority w:val="0"/>
    <w:pPr>
      <w:widowControl w:val="0"/>
      <w:adjustRightInd w:val="0"/>
      <w:spacing w:line="360" w:lineRule="atLeast"/>
      <w:jc w:val="both"/>
      <w:textAlignment w:val="baseline"/>
    </w:pPr>
    <w:rPr>
      <w:rFonts w:hAnsi="Courier New" w:cs="Times New Roman"/>
      <w:kern w:val="2"/>
      <w:sz w:val="21"/>
      <w:szCs w:val="20"/>
    </w:rPr>
  </w:style>
  <w:style w:type="paragraph" w:styleId="9">
    <w:name w:val="Date"/>
    <w:basedOn w:val="1"/>
    <w:next w:val="1"/>
    <w:qFormat/>
    <w:uiPriority w:val="0"/>
    <w:pPr>
      <w:autoSpaceDE w:val="0"/>
      <w:autoSpaceDN w:val="0"/>
      <w:adjustRightInd w:val="0"/>
      <w:ind w:left="100" w:leftChars="2500"/>
      <w:jc w:val="left"/>
      <w:textAlignment w:val="baseline"/>
    </w:pPr>
    <w:rPr>
      <w:kern w:val="20"/>
      <w:sz w:val="22"/>
    </w:rPr>
  </w:style>
  <w:style w:type="paragraph" w:styleId="10">
    <w:name w:val="footer"/>
    <w:basedOn w:val="1"/>
    <w:unhideWhenUsed/>
    <w:qFormat/>
    <w:uiPriority w:val="0"/>
    <w:pPr>
      <w:widowControl w:val="0"/>
      <w:tabs>
        <w:tab w:val="center" w:pos="4153"/>
        <w:tab w:val="right" w:pos="8306"/>
      </w:tabs>
      <w:snapToGrid w:val="0"/>
    </w:pPr>
    <w:rPr>
      <w:rFonts w:ascii="Calibri" w:hAnsi="Calibri" w:cs="Times New Roman"/>
      <w:kern w:val="2"/>
      <w:sz w:val="18"/>
      <w:szCs w:val="18"/>
    </w:rPr>
  </w:style>
  <w:style w:type="paragraph" w:styleId="11">
    <w:name w:val="header"/>
    <w:basedOn w:val="1"/>
    <w:unhideWhenUsed/>
    <w:qFormat/>
    <w:uiPriority w:val="0"/>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12">
    <w:name w:val="toc 1"/>
    <w:basedOn w:val="1"/>
    <w:next w:val="1"/>
    <w:unhideWhenUsed/>
    <w:qFormat/>
    <w:uiPriority w:val="39"/>
    <w:pPr>
      <w:widowControl w:val="0"/>
      <w:jc w:val="both"/>
    </w:pPr>
    <w:rPr>
      <w:rFonts w:ascii="Calibri" w:hAnsi="Calibri" w:cs="Times New Roman"/>
      <w:kern w:val="2"/>
      <w:sz w:val="21"/>
      <w:szCs w:val="22"/>
    </w:rPr>
  </w:style>
  <w:style w:type="paragraph" w:styleId="13">
    <w:name w:val="toc 2"/>
    <w:basedOn w:val="1"/>
    <w:next w:val="1"/>
    <w:unhideWhenUsed/>
    <w:qFormat/>
    <w:uiPriority w:val="39"/>
    <w:pPr>
      <w:widowControl w:val="0"/>
      <w:ind w:left="420" w:leftChars="200"/>
      <w:jc w:val="both"/>
    </w:pPr>
    <w:rPr>
      <w:rFonts w:ascii="Calibri" w:hAnsi="Calibri" w:cs="Times New Roman"/>
      <w:kern w:val="2"/>
      <w:sz w:val="21"/>
      <w:szCs w:val="22"/>
    </w:rPr>
  </w:style>
  <w:style w:type="paragraph" w:styleId="14">
    <w:name w:val="Body Text 2"/>
    <w:basedOn w:val="1"/>
    <w:qFormat/>
    <w:uiPriority w:val="0"/>
    <w:pPr>
      <w:widowControl w:val="0"/>
      <w:spacing w:after="120" w:line="480" w:lineRule="auto"/>
      <w:jc w:val="both"/>
    </w:pPr>
    <w:rPr>
      <w:rFonts w:ascii="Calibri" w:hAnsi="Calibri" w:cs="Times New Roman"/>
      <w:kern w:val="2"/>
      <w:sz w:val="21"/>
    </w:rPr>
  </w:style>
  <w:style w:type="paragraph" w:styleId="15">
    <w:name w:val="Normal (Web)"/>
    <w:basedOn w:val="1"/>
    <w:unhideWhenUsed/>
    <w:qFormat/>
    <w:uiPriority w:val="99"/>
    <w:pPr>
      <w:spacing w:before="100" w:beforeAutospacing="1" w:after="100" w:afterAutospacing="1"/>
    </w:pPr>
  </w:style>
  <w:style w:type="paragraph" w:styleId="16">
    <w:name w:val="Title"/>
    <w:basedOn w:val="1"/>
    <w:qFormat/>
    <w:uiPriority w:val="0"/>
    <w:pPr>
      <w:widowControl w:val="0"/>
      <w:spacing w:before="240" w:after="60"/>
      <w:jc w:val="center"/>
      <w:outlineLvl w:val="0"/>
    </w:pPr>
    <w:rPr>
      <w:rFonts w:ascii="Arial" w:hAnsi="Arial" w:cs="Arial"/>
      <w:b/>
      <w:bCs/>
      <w:kern w:val="2"/>
      <w:sz w:val="32"/>
      <w:szCs w:val="32"/>
    </w:rPr>
  </w:style>
  <w:style w:type="character" w:styleId="19">
    <w:name w:val="Hyperlink"/>
    <w:unhideWhenUsed/>
    <w:qFormat/>
    <w:uiPriority w:val="99"/>
    <w:rPr>
      <w:color w:val="0000FF"/>
      <w:u w:val="single"/>
    </w:rPr>
  </w:style>
  <w:style w:type="paragraph" w:customStyle="1" w:styleId="20">
    <w:name w:val="TOC 标题1"/>
    <w:basedOn w:val="2"/>
    <w:next w:val="1"/>
    <w:unhideWhenUsed/>
    <w:qFormat/>
    <w:uiPriority w:val="39"/>
    <w:pPr>
      <w:keepNext/>
      <w:keepLines/>
      <w:spacing w:before="240" w:line="259" w:lineRule="auto"/>
      <w:jc w:val="left"/>
      <w:outlineLvl w:val="9"/>
    </w:pPr>
    <w:rPr>
      <w:rFonts w:ascii="Cambria" w:hAnsi="Cambria"/>
      <w:b w:val="0"/>
      <w:caps w:val="0"/>
      <w:color w:val="365F91"/>
      <w:sz w:val="32"/>
      <w:szCs w:val="32"/>
      <w:u w:val="none"/>
      <w:lang w:eastAsia="zh-CN"/>
    </w:rPr>
  </w:style>
  <w:style w:type="paragraph" w:customStyle="1" w:styleId="21">
    <w:name w:val="列出段落1"/>
    <w:basedOn w:val="1"/>
    <w:qFormat/>
    <w:uiPriority w:val="34"/>
    <w:pPr>
      <w:widowControl w:val="0"/>
      <w:ind w:firstLine="420" w:firstLineChars="200"/>
      <w:jc w:val="both"/>
    </w:pPr>
    <w:rPr>
      <w:rFonts w:ascii="Calibri" w:hAnsi="Calibri" w:cs="Times New Roman"/>
      <w:kern w:val="2"/>
      <w:sz w:val="21"/>
      <w:szCs w:val="22"/>
    </w:rPr>
  </w:style>
  <w:style w:type="paragraph" w:customStyle="1" w:styleId="22">
    <w:name w:val="无间隔1"/>
    <w:qFormat/>
    <w:uiPriority w:val="1"/>
    <w:pPr>
      <w:widowControl w:val="0"/>
      <w:jc w:val="both"/>
    </w:pPr>
    <w:rPr>
      <w:rFonts w:ascii="Times New Roman" w:hAnsi="Times New Roman" w:eastAsia="仿宋_GB2312" w:cs="Times New Roman"/>
      <w:kern w:val="2"/>
      <w:sz w:val="32"/>
      <w:szCs w:val="24"/>
      <w:lang w:val="en-US" w:eastAsia="zh-CN" w:bidi="ar-SA"/>
    </w:rPr>
  </w:style>
  <w:style w:type="paragraph" w:customStyle="1" w:styleId="23">
    <w:name w:val="Fließtext"/>
    <w:basedOn w:val="1"/>
    <w:qFormat/>
    <w:uiPriority w:val="0"/>
    <w:pPr>
      <w:widowControl w:val="0"/>
      <w:overflowPunct w:val="0"/>
      <w:autoSpaceDE w:val="0"/>
      <w:autoSpaceDN w:val="0"/>
      <w:adjustRightInd w:val="0"/>
      <w:spacing w:line="360" w:lineRule="auto"/>
      <w:jc w:val="both"/>
      <w:textAlignment w:val="baseline"/>
    </w:pPr>
    <w:rPr>
      <w:rFonts w:ascii="Calibri" w:hAnsi="Calibri" w:eastAsia="仿宋" w:cs="Times New Roman"/>
      <w:kern w:val="28"/>
    </w:rPr>
  </w:style>
  <w:style w:type="paragraph" w:customStyle="1" w:styleId="24">
    <w:name w:val="正文段"/>
    <w:basedOn w:val="1"/>
    <w:qFormat/>
    <w:uiPriority w:val="0"/>
    <w:pPr>
      <w:snapToGrid w:val="0"/>
      <w:spacing w:afterLines="50"/>
      <w:ind w:firstLine="200" w:firstLineChars="200"/>
      <w:jc w:val="both"/>
    </w:pPr>
    <w:rPr>
      <w:rFonts w:ascii="Calibri" w:hAnsi="Calibri" w:cs="Times New Roman"/>
      <w:szCs w:val="20"/>
    </w:rPr>
  </w:style>
  <w:style w:type="paragraph" w:customStyle="1" w:styleId="25">
    <w:name w:val="样式 小四 段前: 5 磅 段后: 5 磅 首行缩进:  2 字符"/>
    <w:basedOn w:val="1"/>
    <w:qFormat/>
    <w:uiPriority w:val="0"/>
    <w:pPr>
      <w:widowControl w:val="0"/>
      <w:spacing w:before="100" w:after="156" w:afterLines="50" w:line="360" w:lineRule="auto"/>
      <w:jc w:val="both"/>
    </w:pPr>
    <w:rPr>
      <w:rFonts w:cs="Times New Roman"/>
      <w:szCs w:val="21"/>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paragraph" w:customStyle="1" w:styleId="27">
    <w:name w:val="null3"/>
    <w:hidden/>
    <w:qFormat/>
    <w:uiPriority w:val="0"/>
    <w:rPr>
      <w:rFonts w:hint="eastAsia" w:asciiTheme="minorHAnsi" w:hAnsiTheme="minorHAnsi" w:eastAsiaTheme="minorEastAsia" w:cstheme="minorBidi"/>
      <w:lang w:val="en-US" w:eastAsia="zh-Hans"/>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正文11"/>
    <w:basedOn w:val="1"/>
    <w:qFormat/>
    <w:uiPriority w:val="0"/>
    <w:pPr>
      <w:spacing w:line="360" w:lineRule="auto"/>
      <w:ind w:firstLine="482"/>
    </w:pPr>
    <w:rPr>
      <w:rFonts w:ascii="仿宋" w:hAnsi="仿宋" w:eastAsia="仿宋"/>
      <w:sz w:val="24"/>
    </w:rPr>
  </w:style>
  <w:style w:type="character" w:customStyle="1" w:styleId="30">
    <w:name w:val="font01"/>
    <w:basedOn w:val="18"/>
    <w:qFormat/>
    <w:uiPriority w:val="0"/>
    <w:rPr>
      <w:rFonts w:hint="eastAsia" w:ascii="宋体" w:hAnsi="宋体" w:eastAsia="宋体" w:cs="宋体"/>
      <w:color w:val="000000"/>
      <w:sz w:val="22"/>
      <w:szCs w:val="22"/>
      <w:u w:val="none"/>
    </w:rPr>
  </w:style>
  <w:style w:type="character" w:customStyle="1" w:styleId="31">
    <w:name w:val="font3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508</Words>
  <Characters>535</Characters>
  <Lines>0</Lines>
  <Paragraphs>0</Paragraphs>
  <TotalTime>83</TotalTime>
  <ScaleCrop>false</ScaleCrop>
  <LinksUpToDate>false</LinksUpToDate>
  <CharactersWithSpaces>689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2024-11-05T01:20:00Z</dcterms:created>
  <dc:creator>Zeo☀</dc:creator>
  <cp:lastModifiedBy>詹明渊</cp:lastModifiedBy>
  <dcterms:modified xsi:type="dcterms:W3CDTF">2025-06-18T12:47:46Z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B812EBF75F4C4B219870D0C8EF2FB647_13</vt:lpwstr>
  </property>
  <property fmtid="{D5CDD505-2E9C-101B-9397-08002B2CF9AE}" pid="4" name="KSOTemplateDocerSaveRecord">
    <vt:lpwstr>eyJoZGlkIjoiZmI0ODhmZTY0ZTg5MGU1MTRlMjExYWYwZDlkZTBiNDQiLCJ1c2VySWQiOiIxNjc1MTYwMzE0In0=</vt:lpwstr>
  </property>
</Properties>
</file>