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77FA4E">
      <w:pPr>
        <w:spacing w:line="360" w:lineRule="auto"/>
        <w:jc w:val="center"/>
        <w:rPr>
          <w:rFonts w:hint="eastAsia" w:ascii="宋体" w:hAnsi="宋体" w:cs="宋体"/>
          <w:b/>
          <w:bCs/>
          <w:sz w:val="56"/>
          <w:szCs w:val="56"/>
        </w:rPr>
      </w:pPr>
    </w:p>
    <w:p w14:paraId="5425AF74">
      <w:pPr>
        <w:spacing w:line="360" w:lineRule="auto"/>
        <w:jc w:val="center"/>
        <w:rPr>
          <w:rFonts w:hint="eastAsia" w:ascii="宋体" w:hAnsi="宋体" w:cs="宋体"/>
          <w:b/>
          <w:bCs/>
          <w:sz w:val="56"/>
          <w:szCs w:val="56"/>
        </w:rPr>
      </w:pPr>
      <w:bookmarkStart w:id="2" w:name="_GoBack"/>
      <w:bookmarkEnd w:id="2"/>
    </w:p>
    <w:p w14:paraId="127ADB38">
      <w:pPr>
        <w:spacing w:line="360" w:lineRule="auto"/>
        <w:jc w:val="center"/>
        <w:rPr>
          <w:rFonts w:hint="eastAsia" w:ascii="宋体" w:hAnsi="宋体" w:cs="宋体"/>
          <w:b/>
          <w:bCs/>
          <w:sz w:val="56"/>
          <w:szCs w:val="56"/>
        </w:rPr>
      </w:pPr>
    </w:p>
    <w:p w14:paraId="011BE92B">
      <w:pPr>
        <w:spacing w:line="360" w:lineRule="auto"/>
        <w:jc w:val="center"/>
        <w:rPr>
          <w:rFonts w:hint="eastAsia" w:ascii="方正小标宋简体" w:hAnsi="方正小标宋简体" w:eastAsia="方正小标宋简体" w:cs="方正小标宋简体"/>
          <w:b/>
          <w:bCs/>
          <w:sz w:val="56"/>
          <w:szCs w:val="56"/>
        </w:rPr>
      </w:pPr>
      <w:r>
        <w:rPr>
          <w:rFonts w:hint="eastAsia" w:ascii="方正小标宋简体" w:hAnsi="方正小标宋简体" w:eastAsia="方正小标宋简体" w:cs="方正小标宋简体"/>
          <w:b/>
          <w:bCs/>
          <w:sz w:val="56"/>
          <w:szCs w:val="56"/>
        </w:rPr>
        <w:t xml:space="preserve">   宁德市福化环保科技有限公司</w:t>
      </w:r>
    </w:p>
    <w:p w14:paraId="6E1E39A7">
      <w:pPr>
        <w:spacing w:line="360" w:lineRule="auto"/>
        <w:jc w:val="center"/>
        <w:rPr>
          <w:rFonts w:hint="eastAsia" w:ascii="方正小标宋简体" w:hAnsi="方正小标宋简体" w:eastAsia="方正小标宋简体" w:cs="方正小标宋简体"/>
          <w:b/>
          <w:bCs/>
          <w:sz w:val="48"/>
          <w:szCs w:val="48"/>
        </w:rPr>
      </w:pPr>
      <w:r>
        <w:rPr>
          <w:rFonts w:hint="eastAsia" w:ascii="方正小标宋简体" w:hAnsi="方正小标宋简体" w:eastAsia="方正小标宋简体" w:cs="方正小标宋简体"/>
          <w:b/>
          <w:bCs/>
          <w:sz w:val="56"/>
          <w:szCs w:val="56"/>
        </w:rPr>
        <w:t xml:space="preserve">   省内危险废物运输采购项目</w:t>
      </w:r>
    </w:p>
    <w:p w14:paraId="222EA4BD">
      <w:pPr>
        <w:spacing w:line="1000" w:lineRule="exact"/>
        <w:jc w:val="center"/>
        <w:rPr>
          <w:rFonts w:hAnsi="宋体"/>
          <w:b/>
          <w:sz w:val="44"/>
          <w:szCs w:val="44"/>
        </w:rPr>
      </w:pPr>
    </w:p>
    <w:p w14:paraId="55E5162A">
      <w:pPr>
        <w:pStyle w:val="205"/>
      </w:pPr>
    </w:p>
    <w:p w14:paraId="5728D676">
      <w:pPr>
        <w:pStyle w:val="205"/>
      </w:pPr>
    </w:p>
    <w:p w14:paraId="52E2652C">
      <w:pPr>
        <w:spacing w:line="360" w:lineRule="auto"/>
        <w:jc w:val="center"/>
        <w:rPr>
          <w:rFonts w:hint="eastAsia" w:ascii="宋体" w:hAnsi="宋体" w:cs="宋体"/>
          <w:b/>
          <w:bCs/>
          <w:sz w:val="72"/>
          <w:szCs w:val="72"/>
        </w:rPr>
      </w:pPr>
      <w:r>
        <w:rPr>
          <w:rFonts w:hint="eastAsia" w:ascii="宋体" w:hAnsi="宋体" w:cs="宋体"/>
          <w:b/>
          <w:bCs/>
          <w:sz w:val="72"/>
          <w:szCs w:val="72"/>
        </w:rPr>
        <w:t xml:space="preserve"> 比 选 文 件</w:t>
      </w:r>
    </w:p>
    <w:p w14:paraId="54F1A733">
      <w:pPr>
        <w:pStyle w:val="2"/>
        <w:jc w:val="center"/>
        <w:rPr>
          <w:rFonts w:hint="eastAsia" w:eastAsia="金山简黑体"/>
          <w:lang w:eastAsia="zh-CN"/>
        </w:rPr>
      </w:pPr>
      <w:r>
        <w:rPr>
          <w:rFonts w:hint="eastAsia" w:ascii="宋体" w:hAnsi="宋体" w:cs="宋体"/>
          <w:b/>
          <w:bCs/>
          <w:sz w:val="72"/>
          <w:szCs w:val="72"/>
          <w:lang w:eastAsia="zh-CN"/>
        </w:rPr>
        <w:t>（</w:t>
      </w:r>
      <w:r>
        <w:rPr>
          <w:rFonts w:hint="eastAsia" w:ascii="宋体" w:hAnsi="宋体" w:cs="宋体"/>
          <w:b/>
          <w:bCs/>
          <w:sz w:val="72"/>
          <w:szCs w:val="72"/>
          <w:lang w:val="en-US" w:eastAsia="zh-CN"/>
        </w:rPr>
        <w:t>重新比选</w:t>
      </w:r>
      <w:r>
        <w:rPr>
          <w:rFonts w:hint="eastAsia" w:ascii="宋体" w:hAnsi="宋体" w:cs="宋体"/>
          <w:b/>
          <w:bCs/>
          <w:sz w:val="72"/>
          <w:szCs w:val="72"/>
          <w:lang w:eastAsia="zh-CN"/>
        </w:rPr>
        <w:t>）</w:t>
      </w:r>
    </w:p>
    <w:p w14:paraId="5D776D30">
      <w:pPr>
        <w:spacing w:line="360" w:lineRule="auto"/>
        <w:ind w:firstLine="2479" w:firstLineChars="1029"/>
        <w:rPr>
          <w:rFonts w:ascii="宋体" w:cs="宋体"/>
          <w:b/>
          <w:sz w:val="24"/>
        </w:rPr>
      </w:pPr>
    </w:p>
    <w:p w14:paraId="1023F96A">
      <w:pPr>
        <w:pStyle w:val="205"/>
      </w:pPr>
    </w:p>
    <w:p w14:paraId="6DECCC37">
      <w:pPr>
        <w:pStyle w:val="19"/>
        <w:rPr>
          <w:rFonts w:ascii="Times New Roman" w:hAnsi="Times New Roman"/>
        </w:rPr>
      </w:pPr>
    </w:p>
    <w:p w14:paraId="0B4E5088">
      <w:pPr>
        <w:pStyle w:val="19"/>
        <w:rPr>
          <w:rFonts w:ascii="Times New Roman" w:hAnsi="Times New Roman"/>
        </w:rPr>
      </w:pPr>
    </w:p>
    <w:p w14:paraId="3E41756B">
      <w:pPr>
        <w:pStyle w:val="19"/>
        <w:rPr>
          <w:rFonts w:ascii="Times New Roman" w:hAnsi="Times New Roman"/>
        </w:rPr>
      </w:pPr>
    </w:p>
    <w:p w14:paraId="7358F2C0">
      <w:pPr>
        <w:pStyle w:val="19"/>
        <w:rPr>
          <w:rFonts w:ascii="Times New Roman" w:hAnsi="Times New Roman"/>
        </w:rPr>
      </w:pPr>
    </w:p>
    <w:p w14:paraId="595A4105">
      <w:pPr>
        <w:pStyle w:val="19"/>
        <w:jc w:val="center"/>
        <w:rPr>
          <w:rFonts w:ascii="Times New Roman" w:hAnsi="Times New Roman"/>
        </w:rPr>
      </w:pPr>
    </w:p>
    <w:p w14:paraId="054C5D42">
      <w:pPr>
        <w:pStyle w:val="19"/>
        <w:ind w:firstLine="1285" w:firstLineChars="400"/>
        <w:rPr>
          <w:rFonts w:hint="default" w:ascii="Times New Roman" w:hAnsi="Times New Roman" w:eastAsia="宋体"/>
          <w:b/>
          <w:bCs/>
          <w:sz w:val="32"/>
          <w:szCs w:val="36"/>
          <w:lang w:val="en-US" w:eastAsia="zh-CN"/>
        </w:rPr>
      </w:pPr>
      <w:r>
        <w:rPr>
          <w:rFonts w:hint="eastAsia" w:hAnsi="宋体" w:cs="宋体"/>
          <w:b/>
          <w:bCs/>
          <w:sz w:val="32"/>
          <w:szCs w:val="32"/>
        </w:rPr>
        <w:t>比选编号：HB-NDHB-BX-2024-</w:t>
      </w:r>
      <w:r>
        <w:rPr>
          <w:rFonts w:hint="eastAsia" w:hAnsi="宋体" w:cs="宋体"/>
          <w:b/>
          <w:bCs/>
          <w:sz w:val="32"/>
          <w:szCs w:val="32"/>
          <w:lang w:val="en-US" w:eastAsia="zh-CN"/>
        </w:rPr>
        <w:t>12-02</w:t>
      </w:r>
    </w:p>
    <w:p w14:paraId="5E66A1AD">
      <w:pPr>
        <w:pStyle w:val="19"/>
        <w:ind w:firstLine="1285" w:firstLineChars="400"/>
        <w:rPr>
          <w:rFonts w:hint="eastAsia" w:hAnsi="宋体" w:cs="宋体"/>
          <w:b/>
          <w:bCs/>
          <w:sz w:val="32"/>
          <w:szCs w:val="32"/>
        </w:rPr>
      </w:pPr>
      <w:r>
        <w:rPr>
          <w:rFonts w:hint="eastAsia" w:hAnsi="宋体" w:cs="宋体"/>
          <w:b/>
          <w:bCs/>
          <w:sz w:val="32"/>
          <w:szCs w:val="32"/>
        </w:rPr>
        <w:t>比选人：宁德市福化环保科技有限公司</w:t>
      </w:r>
    </w:p>
    <w:p w14:paraId="44630FA2">
      <w:pPr>
        <w:pStyle w:val="19"/>
        <w:ind w:firstLine="643" w:firstLineChars="200"/>
        <w:jc w:val="center"/>
        <w:rPr>
          <w:rFonts w:hint="eastAsia" w:hAnsi="宋体" w:cs="宋体"/>
          <w:b/>
          <w:bCs/>
          <w:sz w:val="32"/>
          <w:szCs w:val="32"/>
        </w:rPr>
      </w:pPr>
    </w:p>
    <w:p w14:paraId="6659E818">
      <w:pPr>
        <w:pStyle w:val="19"/>
        <w:ind w:firstLine="643" w:firstLineChars="200"/>
        <w:jc w:val="center"/>
        <w:rPr>
          <w:rFonts w:hint="eastAsia" w:hAnsi="宋体" w:cs="宋体"/>
          <w:b/>
          <w:bCs/>
          <w:sz w:val="32"/>
          <w:szCs w:val="32"/>
        </w:rPr>
      </w:pPr>
      <w:r>
        <w:rPr>
          <w:rFonts w:hint="eastAsia" w:hAnsi="宋体" w:cs="宋体"/>
          <w:b/>
          <w:bCs/>
          <w:sz w:val="32"/>
          <w:szCs w:val="32"/>
        </w:rPr>
        <w:t>2024年12月</w:t>
      </w:r>
    </w:p>
    <w:p w14:paraId="18B74C33">
      <w:pPr>
        <w:pStyle w:val="19"/>
        <w:jc w:val="center"/>
        <w:rPr>
          <w:rFonts w:ascii="Times New Roman" w:hAnsi="Times New Roman"/>
          <w:b/>
          <w:bCs/>
          <w:w w:val="95"/>
          <w:sz w:val="32"/>
        </w:rPr>
        <w:sectPr>
          <w:headerReference r:id="rId3" w:type="default"/>
          <w:footerReference r:id="rId4" w:type="default"/>
          <w:pgSz w:w="11906" w:h="16838"/>
          <w:pgMar w:top="1440" w:right="1800" w:bottom="1440" w:left="1800" w:header="851" w:footer="992" w:gutter="0"/>
          <w:pgNumType w:start="0"/>
          <w:cols w:space="720" w:num="1"/>
          <w:titlePg/>
          <w:docGrid w:type="lines" w:linePitch="312" w:charSpace="0"/>
        </w:sectPr>
      </w:pPr>
    </w:p>
    <w:p w14:paraId="790A93B5">
      <w:pPr>
        <w:spacing w:line="500" w:lineRule="exact"/>
        <w:jc w:val="center"/>
        <w:rPr>
          <w:rFonts w:hint="eastAsia" w:ascii="黑体" w:hAnsi="黑体" w:eastAsia="黑体" w:cs="黑体"/>
          <w:b/>
          <w:sz w:val="28"/>
          <w:szCs w:val="28"/>
        </w:rPr>
      </w:pPr>
      <w:r>
        <w:rPr>
          <w:rFonts w:hint="eastAsia" w:ascii="黑体" w:hAnsi="黑体" w:eastAsia="黑体" w:cs="黑体"/>
          <w:b/>
          <w:sz w:val="28"/>
          <w:szCs w:val="28"/>
        </w:rPr>
        <w:t>目    录</w:t>
      </w:r>
    </w:p>
    <w:p w14:paraId="3447A665">
      <w:pPr>
        <w:pStyle w:val="205"/>
        <w:spacing w:beforeLines="25" w:line="50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第一章</w:t>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rPr>
        <w:t>比选公告</w:t>
      </w:r>
    </w:p>
    <w:p w14:paraId="6F47472B">
      <w:pPr>
        <w:pStyle w:val="205"/>
        <w:spacing w:beforeLines="25" w:line="50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第二章</w:t>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rPr>
        <w:t>参选须知</w:t>
      </w:r>
    </w:p>
    <w:p w14:paraId="3ACC42BA">
      <w:pPr>
        <w:pStyle w:val="205"/>
        <w:spacing w:beforeLines="25" w:line="50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第三章</w:t>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rPr>
        <w:t>比选需求</w:t>
      </w:r>
    </w:p>
    <w:p w14:paraId="023AED04">
      <w:pPr>
        <w:pStyle w:val="205"/>
        <w:spacing w:beforeLines="25" w:line="50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第四章</w:t>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rPr>
        <w:t>参选文件的编制</w:t>
      </w:r>
    </w:p>
    <w:p w14:paraId="65EBA957">
      <w:pPr>
        <w:pStyle w:val="205"/>
        <w:spacing w:beforeLines="25" w:line="50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第五章</w:t>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rPr>
        <w:t>评比规则</w:t>
      </w:r>
    </w:p>
    <w:p w14:paraId="02C711AC">
      <w:pPr>
        <w:pStyle w:val="205"/>
        <w:spacing w:beforeLines="25" w:line="50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第六章</w:t>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rPr>
        <w:t>合同授予</w:t>
      </w:r>
    </w:p>
    <w:p w14:paraId="67E947CA">
      <w:pPr>
        <w:pStyle w:val="205"/>
        <w:spacing w:beforeLines="25" w:line="50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第七章</w:t>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rPr>
        <w:t>中选后相关履约要求</w:t>
      </w:r>
    </w:p>
    <w:p w14:paraId="5C2A21EE">
      <w:pPr>
        <w:pStyle w:val="205"/>
        <w:spacing w:beforeLines="25" w:line="50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第八章</w:t>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rPr>
        <w:t>其他</w:t>
      </w:r>
    </w:p>
    <w:p w14:paraId="4608B38F">
      <w:pPr>
        <w:pStyle w:val="205"/>
        <w:spacing w:beforeLines="25" w:line="500" w:lineRule="exact"/>
        <w:rPr>
          <w:rFonts w:hint="eastAsia" w:ascii="仿宋_GB2312" w:hAnsi="仿宋_GB2312" w:eastAsia="仿宋_GB2312" w:cs="仿宋_GB2312"/>
          <w:bCs/>
          <w:sz w:val="28"/>
          <w:szCs w:val="28"/>
        </w:rPr>
      </w:pPr>
    </w:p>
    <w:p w14:paraId="790391B7">
      <w:pPr>
        <w:pStyle w:val="205"/>
        <w:spacing w:beforeLines="25" w:line="50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附件1</w:t>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rPr>
        <w:t>危险废物运输服务合同</w:t>
      </w:r>
    </w:p>
    <w:p w14:paraId="6AC63182">
      <w:pPr>
        <w:pStyle w:val="205"/>
        <w:spacing w:beforeLines="25" w:line="50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附件2</w:t>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rPr>
        <w:t>参选文件（示范文本）</w:t>
      </w:r>
    </w:p>
    <w:p w14:paraId="1F9E798A">
      <w:pPr>
        <w:pStyle w:val="205"/>
        <w:spacing w:line="500" w:lineRule="exact"/>
        <w:rPr>
          <w:rFonts w:hint="eastAsia" w:ascii="仿宋_GB2312" w:hAnsi="仿宋_GB2312" w:eastAsia="仿宋_GB2312" w:cs="仿宋_GB2312"/>
          <w:bCs/>
          <w:sz w:val="28"/>
          <w:szCs w:val="28"/>
        </w:rPr>
      </w:pPr>
    </w:p>
    <w:p w14:paraId="710A6DA6">
      <w:pPr>
        <w:pStyle w:val="205"/>
        <w:spacing w:line="500" w:lineRule="exact"/>
        <w:rPr>
          <w:rFonts w:hint="eastAsia" w:ascii="仿宋_GB2312" w:hAnsi="仿宋_GB2312" w:eastAsia="仿宋_GB2312" w:cs="仿宋_GB2312"/>
          <w:sz w:val="28"/>
          <w:szCs w:val="28"/>
        </w:rPr>
      </w:pPr>
    </w:p>
    <w:p w14:paraId="0B42BB8B">
      <w:pPr>
        <w:pStyle w:val="205"/>
        <w:spacing w:line="500" w:lineRule="exact"/>
        <w:rPr>
          <w:rFonts w:hint="eastAsia" w:ascii="仿宋_GB2312" w:hAnsi="仿宋_GB2312" w:eastAsia="仿宋_GB2312" w:cs="仿宋_GB2312"/>
          <w:sz w:val="28"/>
          <w:szCs w:val="28"/>
        </w:rPr>
      </w:pPr>
    </w:p>
    <w:p w14:paraId="0850244A">
      <w:pPr>
        <w:pStyle w:val="205"/>
        <w:spacing w:line="500" w:lineRule="exact"/>
        <w:rPr>
          <w:rFonts w:hint="eastAsia" w:ascii="仿宋_GB2312" w:hAnsi="仿宋_GB2312" w:eastAsia="仿宋_GB2312" w:cs="仿宋_GB2312"/>
          <w:sz w:val="28"/>
          <w:szCs w:val="28"/>
        </w:rPr>
      </w:pPr>
    </w:p>
    <w:p w14:paraId="5B437CFE">
      <w:pPr>
        <w:pStyle w:val="205"/>
        <w:spacing w:line="500" w:lineRule="exact"/>
        <w:rPr>
          <w:rFonts w:hint="eastAsia" w:ascii="仿宋_GB2312" w:hAnsi="仿宋_GB2312" w:eastAsia="仿宋_GB2312" w:cs="仿宋_GB2312"/>
          <w:sz w:val="28"/>
          <w:szCs w:val="28"/>
        </w:rPr>
      </w:pPr>
    </w:p>
    <w:p w14:paraId="15CBA474">
      <w:pPr>
        <w:pStyle w:val="3"/>
        <w:spacing w:before="0" w:line="500" w:lineRule="exact"/>
        <w:ind w:left="0" w:firstLine="0"/>
        <w:jc w:val="center"/>
        <w:rPr>
          <w:rFonts w:hint="eastAsia" w:ascii="仿宋_GB2312" w:hAnsi="仿宋_GB2312" w:eastAsia="仿宋_GB2312" w:cs="仿宋_GB2312"/>
          <w:sz w:val="28"/>
          <w:szCs w:val="28"/>
        </w:rPr>
        <w:sectPr>
          <w:footerReference r:id="rId6" w:type="first"/>
          <w:footerReference r:id="rId5" w:type="default"/>
          <w:pgSz w:w="11906" w:h="16838"/>
          <w:pgMar w:top="1440" w:right="1800" w:bottom="1440" w:left="1800" w:header="851" w:footer="992" w:gutter="0"/>
          <w:pgNumType w:start="1"/>
          <w:cols w:space="720" w:num="1"/>
          <w:docGrid w:type="lines" w:linePitch="312" w:charSpace="0"/>
        </w:sectPr>
      </w:pPr>
    </w:p>
    <w:p w14:paraId="211B213B">
      <w:pPr>
        <w:pStyle w:val="3"/>
        <w:jc w:val="center"/>
        <w:rPr>
          <w:rFonts w:hint="eastAsia" w:ascii="仿宋_GB2312" w:hAnsi="仿宋_GB2312" w:eastAsia="黑体" w:cs="仿宋_GB2312"/>
          <w:sz w:val="28"/>
          <w:szCs w:val="28"/>
          <w:lang w:eastAsia="zh-CN"/>
        </w:rPr>
      </w:pPr>
      <w:r>
        <w:rPr>
          <w:rFonts w:hint="eastAsia" w:ascii="黑体" w:hAnsi="黑体" w:eastAsia="黑体" w:cs="黑体"/>
          <w:sz w:val="28"/>
          <w:szCs w:val="28"/>
        </w:rPr>
        <w:t>第一章</w:t>
      </w:r>
      <w:r>
        <w:rPr>
          <w:rFonts w:hint="eastAsia" w:ascii="黑体" w:hAnsi="黑体" w:eastAsia="黑体" w:cs="黑体"/>
          <w:sz w:val="28"/>
          <w:szCs w:val="28"/>
        </w:rPr>
        <w:tab/>
      </w:r>
      <w:r>
        <w:rPr>
          <w:rFonts w:hint="eastAsia" w:ascii="黑体" w:hAnsi="黑体" w:eastAsia="黑体" w:cs="黑体"/>
          <w:sz w:val="28"/>
          <w:szCs w:val="28"/>
        </w:rPr>
        <w:t>比选公告</w:t>
      </w:r>
      <w:r>
        <w:rPr>
          <w:rFonts w:hint="eastAsia" w:ascii="黑体" w:hAnsi="黑体" w:eastAsia="黑体" w:cs="黑体"/>
          <w:sz w:val="28"/>
          <w:szCs w:val="28"/>
          <w:lang w:eastAsia="zh-CN"/>
        </w:rPr>
        <w:t>（</w:t>
      </w:r>
      <w:r>
        <w:rPr>
          <w:rFonts w:hint="eastAsia" w:ascii="黑体" w:hAnsi="黑体" w:eastAsia="黑体" w:cs="黑体"/>
          <w:sz w:val="28"/>
          <w:szCs w:val="28"/>
          <w:lang w:val="en-US" w:eastAsia="zh-CN"/>
        </w:rPr>
        <w:t>重新比选</w:t>
      </w:r>
      <w:r>
        <w:rPr>
          <w:rFonts w:hint="eastAsia" w:ascii="黑体" w:hAnsi="黑体" w:eastAsia="黑体" w:cs="黑体"/>
          <w:sz w:val="28"/>
          <w:szCs w:val="28"/>
          <w:lang w:eastAsia="zh-CN"/>
        </w:rPr>
        <w:t>）</w:t>
      </w:r>
    </w:p>
    <w:p w14:paraId="1A5C1963">
      <w:pPr>
        <w:spacing w:beforeLines="25" w:line="400" w:lineRule="exact"/>
        <w:ind w:firstLine="440" w:firstLineChars="200"/>
        <w:jc w:val="right"/>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比选编号：HB-NDHB-BX-2024-</w:t>
      </w:r>
      <w:r>
        <w:rPr>
          <w:rFonts w:hint="eastAsia" w:ascii="仿宋_GB2312" w:hAnsi="仿宋_GB2312" w:eastAsia="仿宋_GB2312" w:cs="仿宋_GB2312"/>
          <w:sz w:val="22"/>
          <w:szCs w:val="22"/>
          <w:lang w:val="en-US" w:eastAsia="zh-CN"/>
        </w:rPr>
        <w:t>12-02</w:t>
      </w:r>
    </w:p>
    <w:p w14:paraId="1F6166B9">
      <w:pPr>
        <w:spacing w:beforeLines="25"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宁德市福化环保科技有限公司（以下简称比选人）因开展业务需要，拟通过公开自主比选的方式对省内（专线运输除外）危险废物（以下简称“危废”）运输项目进行采购。</w:t>
      </w:r>
    </w:p>
    <w:p w14:paraId="47D80606">
      <w:pPr>
        <w:pStyle w:val="205"/>
        <w:spacing w:beforeLines="25" w:line="40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highlight w:val="none"/>
        </w:rPr>
        <w:t>一、参选人资格要求：</w:t>
      </w:r>
    </w:p>
    <w:p w14:paraId="343A0CB0">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1、参选人须为在中国注册的法人，具有危险货物运输资质（须</w:t>
      </w:r>
      <w:r>
        <w:rPr>
          <w:rFonts w:hint="eastAsia" w:ascii="仿宋_GB2312" w:hAnsi="仿宋_GB2312" w:eastAsia="仿宋_GB2312" w:cs="仿宋_GB2312"/>
          <w:bCs w:val="0"/>
          <w:sz w:val="24"/>
          <w:szCs w:val="24"/>
        </w:rPr>
        <w:t>同时具备第3、6、8、9类的危险货物运输经营许可证），从事危险货物运输行业1年以上（含1年），</w:t>
      </w:r>
      <w:r>
        <w:rPr>
          <w:rFonts w:hint="eastAsia" w:ascii="仿宋_GB2312" w:hAnsi="仿宋_GB2312" w:eastAsia="仿宋_GB2312" w:cs="仿宋_GB2312"/>
          <w:kern w:val="2"/>
          <w:sz w:val="24"/>
          <w:szCs w:val="24"/>
          <w:lang w:val="en-US" w:eastAsia="zh-CN" w:bidi="ar"/>
        </w:rPr>
        <w:t>近两年内具有类似业绩至少 2 项（以危废转移联单、中标通知书或合同协议为证）；</w:t>
      </w:r>
      <w:r>
        <w:rPr>
          <w:rFonts w:hint="eastAsia" w:ascii="仿宋_GB2312" w:hAnsi="仿宋_GB2312" w:eastAsia="仿宋_GB2312" w:cs="仿宋_GB2312"/>
          <w:sz w:val="24"/>
          <w:szCs w:val="24"/>
        </w:rPr>
        <w:t>经营年限内无商业纠纷案件、无偷漏税行为，未被列入严重违法失信企业名单，与比选人无法律纠纷（须提供营业执照、资质证书等复印件）；</w:t>
      </w:r>
    </w:p>
    <w:p w14:paraId="15088589">
      <w:pPr>
        <w:pStyle w:val="246"/>
        <w:spacing w:beforeLines="25" w:afterLines="0" w:line="400" w:lineRule="exact"/>
        <w:ind w:firstLine="480"/>
        <w:rPr>
          <w:rFonts w:hint="eastAsia" w:ascii="仿宋_GB2312" w:hAnsi="仿宋_GB2312" w:eastAsia="仿宋_GB2312" w:cs="仿宋_GB2312"/>
          <w:bCs w:val="0"/>
          <w:sz w:val="24"/>
          <w:szCs w:val="24"/>
        </w:rPr>
      </w:pPr>
      <w:r>
        <w:rPr>
          <w:rFonts w:hint="eastAsia" w:ascii="仿宋_GB2312" w:hAnsi="仿宋_GB2312" w:eastAsia="仿宋_GB2312" w:cs="仿宋_GB2312"/>
          <w:bCs w:val="0"/>
          <w:sz w:val="24"/>
          <w:szCs w:val="24"/>
        </w:rPr>
        <w:t>2、参选</w:t>
      </w:r>
      <w:r>
        <w:rPr>
          <w:rFonts w:hint="eastAsia" w:ascii="仿宋_GB2312" w:hAnsi="仿宋_GB2312" w:eastAsia="仿宋_GB2312" w:cs="仿宋_GB2312"/>
          <w:sz w:val="24"/>
          <w:szCs w:val="24"/>
        </w:rPr>
        <w:t>人</w:t>
      </w:r>
      <w:r>
        <w:rPr>
          <w:rFonts w:hint="eastAsia" w:ascii="仿宋_GB2312" w:hAnsi="仿宋_GB2312" w:eastAsia="仿宋_GB2312" w:cs="仿宋_GB2312"/>
          <w:bCs w:val="0"/>
          <w:sz w:val="24"/>
          <w:szCs w:val="24"/>
        </w:rPr>
        <w:t>拟派遣人员应具备道路危险货物运输从业资格证、押运员证（须提供拟派遣人员的资质证书、身份证复印件）；</w:t>
      </w:r>
    </w:p>
    <w:p w14:paraId="598B2D19">
      <w:pPr>
        <w:pStyle w:val="246"/>
        <w:spacing w:beforeLines="25" w:after="156" w:line="400" w:lineRule="exact"/>
        <w:ind w:firstLine="480"/>
        <w:rPr>
          <w:rFonts w:hint="eastAsia" w:ascii="仿宋_GB2312" w:hAnsi="仿宋_GB2312" w:eastAsia="仿宋_GB2312" w:cs="仿宋_GB2312"/>
          <w:sz w:val="24"/>
        </w:rPr>
      </w:pPr>
      <w:r>
        <w:rPr>
          <w:rFonts w:hint="eastAsia" w:ascii="仿宋_GB2312" w:hAnsi="仿宋_GB2312" w:eastAsia="仿宋_GB2312" w:cs="仿宋_GB2312"/>
          <w:sz w:val="24"/>
          <w:szCs w:val="24"/>
        </w:rPr>
        <w:t>3、参选人</w:t>
      </w:r>
      <w:r>
        <w:rPr>
          <w:rFonts w:hint="eastAsia" w:ascii="仿宋_GB2312" w:hAnsi="仿宋_GB2312" w:eastAsia="仿宋_GB2312" w:cs="仿宋_GB2312"/>
          <w:bCs w:val="0"/>
          <w:sz w:val="24"/>
          <w:szCs w:val="24"/>
        </w:rPr>
        <w:t>具有5辆以上（含5辆）危险货物运输车辆，并投保相应保险，安装GPS定位系统及车载监控系统（须提供交强险、车损险、第三者责任险、车内人员险等保单复印件，其中第三者责任险≥100万，座位险≥10万/座）；</w:t>
      </w:r>
      <w:r>
        <w:rPr>
          <w:rFonts w:hint="eastAsia" w:ascii="仿宋_GB2312" w:hAnsi="仿宋_GB2312" w:eastAsia="仿宋_GB2312" w:cs="仿宋_GB2312"/>
          <w:sz w:val="24"/>
        </w:rPr>
        <w:t>参选单位必须至少提供1辆荷载量30吨的展冀货车并提供证明材料（均要求左右两侧全方位开门）；</w:t>
      </w:r>
    </w:p>
    <w:p w14:paraId="096BD2F8">
      <w:pPr>
        <w:pStyle w:val="246"/>
        <w:spacing w:beforeLines="25" w:afterLines="0" w:line="400" w:lineRule="exact"/>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备注：本项目不接受联合体参选，不许非法分包、杜绝转包。</w:t>
      </w:r>
    </w:p>
    <w:p w14:paraId="788AD4FB">
      <w:pPr>
        <w:pStyle w:val="205"/>
        <w:spacing w:beforeLines="25" w:line="40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xml:space="preserve">    二、参选文件递交的截止时间：</w:t>
      </w:r>
    </w:p>
    <w:p w14:paraId="0D47A74E">
      <w:pPr>
        <w:pStyle w:val="205"/>
        <w:spacing w:beforeLines="25" w:line="400" w:lineRule="exact"/>
        <w:ind w:left="141" w:leftChars="67" w:firstLine="360" w:firstLineChars="15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凡愿意参加比选的参选人请</w:t>
      </w:r>
      <w:r>
        <w:rPr>
          <w:rFonts w:hint="eastAsia" w:ascii="仿宋_GB2312" w:hAnsi="仿宋_GB2312" w:eastAsia="仿宋_GB2312" w:cs="仿宋_GB2312"/>
          <w:kern w:val="2"/>
          <w:sz w:val="24"/>
          <w:szCs w:val="24"/>
          <w:highlight w:val="yellow"/>
        </w:rPr>
        <w:t>于2024年12月</w:t>
      </w:r>
      <w:r>
        <w:rPr>
          <w:rFonts w:hint="eastAsia" w:ascii="仿宋_GB2312" w:hAnsi="仿宋_GB2312" w:eastAsia="仿宋_GB2312" w:cs="仿宋_GB2312"/>
          <w:kern w:val="2"/>
          <w:sz w:val="24"/>
          <w:szCs w:val="24"/>
          <w:highlight w:val="yellow"/>
          <w:lang w:val="en-US" w:eastAsia="zh-CN"/>
        </w:rPr>
        <w:t>24</w:t>
      </w:r>
      <w:r>
        <w:rPr>
          <w:rFonts w:hint="eastAsia" w:ascii="仿宋_GB2312" w:hAnsi="仿宋_GB2312" w:eastAsia="仿宋_GB2312" w:cs="仿宋_GB2312"/>
          <w:kern w:val="2"/>
          <w:sz w:val="24"/>
          <w:szCs w:val="24"/>
          <w:highlight w:val="yellow"/>
        </w:rPr>
        <w:t>日至2024年12月</w:t>
      </w:r>
      <w:r>
        <w:rPr>
          <w:rFonts w:hint="eastAsia" w:ascii="仿宋_GB2312" w:hAnsi="仿宋_GB2312" w:eastAsia="仿宋_GB2312" w:cs="仿宋_GB2312"/>
          <w:kern w:val="2"/>
          <w:sz w:val="24"/>
          <w:szCs w:val="24"/>
          <w:highlight w:val="yellow"/>
          <w:lang w:val="en-US" w:eastAsia="zh-CN"/>
        </w:rPr>
        <w:t>29</w:t>
      </w:r>
      <w:r>
        <w:rPr>
          <w:rFonts w:hint="eastAsia" w:ascii="仿宋_GB2312" w:hAnsi="仿宋_GB2312" w:eastAsia="仿宋_GB2312" w:cs="仿宋_GB2312"/>
          <w:kern w:val="2"/>
          <w:sz w:val="24"/>
          <w:szCs w:val="24"/>
          <w:highlight w:val="yellow"/>
        </w:rPr>
        <w:t>日，</w:t>
      </w:r>
      <w:r>
        <w:rPr>
          <w:rFonts w:hint="eastAsia" w:ascii="仿宋_GB2312" w:hAnsi="仿宋_GB2312" w:eastAsia="仿宋_GB2312" w:cs="仿宋_GB2312"/>
          <w:kern w:val="2"/>
          <w:sz w:val="24"/>
          <w:szCs w:val="24"/>
        </w:rPr>
        <w:t>每天上午9:00至12:00，下午14:00至17:00，与我司指定联系人联系参选报名事宜，并于上述期限内缴纳参选保证金、提交参选文件，逾期不予受理。参选文件请提交至宁德市福鼎市龙安开发区龙湾路5号（宁德市福化环保科技有限公司），</w:t>
      </w:r>
      <w:r>
        <w:rPr>
          <w:rFonts w:hint="eastAsia" w:ascii="仿宋_GB2312" w:hAnsi="仿宋_GB2312" w:eastAsia="仿宋_GB2312" w:cs="仿宋_GB2312"/>
          <w:b/>
          <w:kern w:val="2"/>
          <w:sz w:val="24"/>
          <w:szCs w:val="24"/>
        </w:rPr>
        <w:t>请使用顺丰进行邮寄</w:t>
      </w:r>
      <w:r>
        <w:rPr>
          <w:rFonts w:hint="eastAsia" w:ascii="仿宋_GB2312" w:hAnsi="仿宋_GB2312" w:eastAsia="仿宋_GB2312" w:cs="仿宋_GB2312"/>
          <w:kern w:val="2"/>
          <w:sz w:val="24"/>
          <w:szCs w:val="24"/>
        </w:rPr>
        <w:t>。</w:t>
      </w:r>
    </w:p>
    <w:p w14:paraId="5F3E8DBA">
      <w:pPr>
        <w:pStyle w:val="205"/>
        <w:spacing w:beforeLines="25" w:line="40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xml:space="preserve">    三、评选方法：</w:t>
      </w:r>
    </w:p>
    <w:p w14:paraId="0E6F0B01">
      <w:pPr>
        <w:pStyle w:val="205"/>
        <w:spacing w:beforeLines="25" w:line="400" w:lineRule="exact"/>
        <w:ind w:firstLine="480" w:firstLineChars="200"/>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本次比选采用经评审的最低价中选的方式，确定1个中选价格及2-3名中选人，中选价格作为所有中选人的合同结算价格的基准价（详见第三章）。</w:t>
      </w:r>
    </w:p>
    <w:p w14:paraId="5B91E9BF">
      <w:pPr>
        <w:pStyle w:val="205"/>
        <w:spacing w:beforeLines="25" w:line="40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xml:space="preserve">    四、最高限价：</w:t>
      </w:r>
    </w:p>
    <w:p w14:paraId="6473EDC5">
      <w:pPr>
        <w:pStyle w:val="205"/>
        <w:spacing w:beforeLines="25" w:line="400" w:lineRule="exact"/>
        <w:ind w:firstLine="480" w:firstLineChars="20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本次比选以100-250KM（含）运距的费用作为基准价，其他运距以基准差乘以系数确认，基准价的最高限价为0.58元/吨·公里（含税），超过最高限价的报价无效。</w:t>
      </w:r>
    </w:p>
    <w:p w14:paraId="1F159A4C">
      <w:pPr>
        <w:pStyle w:val="205"/>
        <w:spacing w:beforeLines="25" w:line="40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xml:space="preserve">    五、参选保证金：</w:t>
      </w:r>
    </w:p>
    <w:p w14:paraId="42232563">
      <w:pPr>
        <w:pStyle w:val="205"/>
        <w:spacing w:beforeLines="25"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30000元（大写：叁万元整），从参选人所在地企业基本账户银行以电汇或银行转账的形式，汇到比选人指定的保证金账户。</w:t>
      </w:r>
    </w:p>
    <w:p w14:paraId="13EEB729">
      <w:pPr>
        <w:pStyle w:val="205"/>
        <w:spacing w:beforeLines="25" w:line="40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xml:space="preserve">    六、服务期限：</w:t>
      </w:r>
    </w:p>
    <w:p w14:paraId="5E598466">
      <w:pPr>
        <w:pStyle w:val="205"/>
        <w:spacing w:beforeLines="25"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1年，具体以合同为准。</w:t>
      </w:r>
    </w:p>
    <w:p w14:paraId="5F621D56">
      <w:pPr>
        <w:pStyle w:val="205"/>
        <w:spacing w:beforeLines="25" w:line="40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xml:space="preserve">    七、联系方式：</w:t>
      </w:r>
    </w:p>
    <w:p w14:paraId="03F7CB00">
      <w:pPr>
        <w:pStyle w:val="205"/>
        <w:spacing w:beforeLines="25" w:line="400" w:lineRule="exact"/>
        <w:ind w:firstLine="465"/>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联系人：</w:t>
      </w:r>
      <w:r>
        <w:rPr>
          <w:rFonts w:hint="eastAsia" w:ascii="仿宋_GB2312" w:hAnsi="仿宋_GB2312" w:eastAsia="仿宋_GB2312" w:cs="仿宋_GB2312"/>
          <w:kern w:val="2"/>
          <w:sz w:val="24"/>
          <w:szCs w:val="24"/>
        </w:rPr>
        <w:tab/>
      </w:r>
      <w:r>
        <w:rPr>
          <w:rFonts w:hint="eastAsia" w:ascii="仿宋_GB2312" w:hAnsi="仿宋_GB2312" w:eastAsia="仿宋_GB2312" w:cs="仿宋_GB2312"/>
          <w:kern w:val="2"/>
          <w:sz w:val="24"/>
          <w:szCs w:val="24"/>
        </w:rPr>
        <w:t>王先生</w:t>
      </w:r>
      <w:r>
        <w:rPr>
          <w:rFonts w:hint="eastAsia" w:ascii="仿宋_GB2312" w:hAnsi="仿宋_GB2312" w:eastAsia="仿宋_GB2312" w:cs="仿宋_GB2312"/>
          <w:kern w:val="2"/>
          <w:sz w:val="24"/>
          <w:szCs w:val="24"/>
        </w:rPr>
        <w:tab/>
      </w:r>
      <w:r>
        <w:rPr>
          <w:rFonts w:hint="eastAsia" w:ascii="仿宋_GB2312" w:hAnsi="仿宋_GB2312" w:eastAsia="仿宋_GB2312" w:cs="仿宋_GB2312"/>
          <w:kern w:val="2"/>
          <w:sz w:val="24"/>
          <w:szCs w:val="24"/>
        </w:rPr>
        <w:tab/>
      </w:r>
      <w:r>
        <w:rPr>
          <w:rFonts w:hint="eastAsia" w:ascii="仿宋_GB2312" w:hAnsi="仿宋_GB2312" w:eastAsia="仿宋_GB2312" w:cs="仿宋_GB2312"/>
          <w:kern w:val="2"/>
          <w:sz w:val="24"/>
          <w:szCs w:val="24"/>
        </w:rPr>
        <w:t>电话：18605091398</w:t>
      </w:r>
    </w:p>
    <w:p w14:paraId="59059C8B">
      <w:pPr>
        <w:pStyle w:val="205"/>
        <w:spacing w:beforeLines="25" w:line="400" w:lineRule="exact"/>
        <w:ind w:firstLine="465"/>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 xml:space="preserve">          林先生     电话：15960829200</w:t>
      </w:r>
    </w:p>
    <w:p w14:paraId="45CD8516">
      <w:pPr>
        <w:pStyle w:val="205"/>
        <w:spacing w:beforeLines="25" w:line="400" w:lineRule="exact"/>
        <w:ind w:firstLine="480" w:firstLineChars="20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纪检监督：林女士</w:t>
      </w:r>
      <w:r>
        <w:rPr>
          <w:rFonts w:hint="eastAsia" w:ascii="仿宋_GB2312" w:hAnsi="仿宋_GB2312" w:eastAsia="仿宋_GB2312" w:cs="仿宋_GB2312"/>
          <w:kern w:val="2"/>
          <w:sz w:val="24"/>
          <w:szCs w:val="24"/>
        </w:rPr>
        <w:tab/>
      </w:r>
      <w:r>
        <w:rPr>
          <w:rFonts w:hint="eastAsia" w:ascii="仿宋_GB2312" w:hAnsi="仿宋_GB2312" w:eastAsia="仿宋_GB2312" w:cs="仿宋_GB2312"/>
          <w:kern w:val="2"/>
          <w:sz w:val="24"/>
          <w:szCs w:val="24"/>
        </w:rPr>
        <w:tab/>
      </w:r>
      <w:r>
        <w:rPr>
          <w:rFonts w:hint="eastAsia" w:ascii="仿宋_GB2312" w:hAnsi="仿宋_GB2312" w:eastAsia="仿宋_GB2312" w:cs="仿宋_GB2312"/>
          <w:kern w:val="2"/>
          <w:sz w:val="24"/>
          <w:szCs w:val="24"/>
        </w:rPr>
        <w:t>电话：0591-87270021</w:t>
      </w:r>
    </w:p>
    <w:p w14:paraId="0312A290">
      <w:pPr>
        <w:pStyle w:val="205"/>
        <w:spacing w:beforeLines="25" w:line="400" w:lineRule="exact"/>
        <w:ind w:firstLine="56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联系地址：宁德市福鼎市龙安开发区龙湾路5号</w:t>
      </w:r>
      <w:r>
        <w:rPr>
          <w:rFonts w:hint="eastAsia" w:ascii="仿宋_GB2312" w:hAnsi="仿宋_GB2312" w:eastAsia="仿宋_GB2312" w:cs="仿宋_GB2312"/>
          <w:sz w:val="24"/>
          <w:szCs w:val="24"/>
        </w:rPr>
        <w:t>，宁德市福化环保科技有限公司办公室</w:t>
      </w:r>
    </w:p>
    <w:p w14:paraId="01B8AA12">
      <w:pPr>
        <w:pStyle w:val="205"/>
        <w:spacing w:beforeLines="25" w:line="400" w:lineRule="exact"/>
        <w:rPr>
          <w:rFonts w:hint="eastAsia" w:ascii="仿宋_GB2312" w:hAnsi="仿宋_GB2312" w:eastAsia="仿宋_GB2312" w:cs="仿宋_GB2312"/>
          <w:b/>
          <w:bCs/>
          <w:kern w:val="2"/>
          <w:sz w:val="24"/>
          <w:szCs w:val="24"/>
        </w:rPr>
      </w:pPr>
      <w:r>
        <w:rPr>
          <w:rFonts w:hint="eastAsia" w:ascii="仿宋_GB2312" w:hAnsi="仿宋_GB2312" w:eastAsia="仿宋_GB2312" w:cs="仿宋_GB2312"/>
          <w:b/>
          <w:bCs/>
          <w:sz w:val="24"/>
          <w:szCs w:val="24"/>
        </w:rPr>
        <w:t xml:space="preserve">    八、</w:t>
      </w:r>
      <w:r>
        <w:rPr>
          <w:rFonts w:hint="eastAsia" w:ascii="仿宋_GB2312" w:hAnsi="仿宋_GB2312" w:eastAsia="仿宋_GB2312" w:cs="仿宋_GB2312"/>
          <w:b/>
          <w:bCs/>
          <w:kern w:val="2"/>
          <w:sz w:val="24"/>
          <w:szCs w:val="24"/>
        </w:rPr>
        <w:t>其他：</w:t>
      </w:r>
    </w:p>
    <w:p w14:paraId="0CC3A385">
      <w:pPr>
        <w:spacing w:beforeLines="25"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宁德市福化环保科技有限公司承诺本次自主比选不存在任何障碍，保证本公告的内容不存在任何重大遗漏、虚假陈述或严重误导，并对其内容的真实性、完整性和有效性负责。</w:t>
      </w:r>
    </w:p>
    <w:p w14:paraId="3297B8AF">
      <w:pPr>
        <w:spacing w:beforeLines="25" w:line="400" w:lineRule="exact"/>
        <w:ind w:firstLine="480" w:firstLineChars="200"/>
        <w:rPr>
          <w:rFonts w:hint="eastAsia" w:ascii="仿宋_GB2312" w:hAnsi="仿宋_GB2312" w:eastAsia="仿宋_GB2312" w:cs="仿宋_GB2312"/>
          <w:sz w:val="24"/>
        </w:rPr>
      </w:pPr>
    </w:p>
    <w:p w14:paraId="1734682A">
      <w:pPr>
        <w:pStyle w:val="205"/>
        <w:spacing w:line="500" w:lineRule="exact"/>
        <w:ind w:right="120" w:firstLine="56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宁德市福化环保科技有限公司</w:t>
      </w:r>
    </w:p>
    <w:p w14:paraId="46BEBD5B">
      <w:pPr>
        <w:pStyle w:val="205"/>
        <w:spacing w:line="500" w:lineRule="exact"/>
        <w:ind w:right="480" w:firstLine="56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highlight w:val="yellow"/>
        </w:rPr>
        <w:t>2024年12月</w:t>
      </w:r>
      <w:r>
        <w:rPr>
          <w:rFonts w:hint="eastAsia" w:ascii="仿宋_GB2312" w:hAnsi="仿宋_GB2312" w:eastAsia="仿宋_GB2312" w:cs="仿宋_GB2312"/>
          <w:sz w:val="24"/>
          <w:szCs w:val="24"/>
          <w:highlight w:val="yellow"/>
          <w:lang w:val="en-US" w:eastAsia="zh-CN"/>
        </w:rPr>
        <w:t>24</w:t>
      </w:r>
      <w:r>
        <w:rPr>
          <w:rFonts w:hint="eastAsia" w:ascii="仿宋_GB2312" w:hAnsi="仿宋_GB2312" w:eastAsia="仿宋_GB2312" w:cs="仿宋_GB2312"/>
          <w:sz w:val="24"/>
          <w:szCs w:val="24"/>
          <w:highlight w:val="yellow"/>
        </w:rPr>
        <w:t>日</w:t>
      </w:r>
    </w:p>
    <w:p w14:paraId="5D1A6207">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r>
        <w:rPr>
          <w:rStyle w:val="41"/>
          <w:rFonts w:hint="eastAsia" w:ascii="黑体" w:hAnsi="黑体" w:cs="黑体"/>
          <w:szCs w:val="28"/>
        </w:rPr>
        <w:t>第二章</w:t>
      </w:r>
      <w:r>
        <w:rPr>
          <w:rStyle w:val="41"/>
          <w:rFonts w:hint="eastAsia" w:ascii="黑体" w:hAnsi="黑体" w:cs="黑体"/>
          <w:szCs w:val="28"/>
        </w:rPr>
        <w:tab/>
      </w:r>
      <w:r>
        <w:rPr>
          <w:rStyle w:val="41"/>
          <w:rFonts w:hint="eastAsia" w:ascii="黑体" w:hAnsi="黑体" w:cs="黑体"/>
          <w:szCs w:val="28"/>
        </w:rPr>
        <w:t>参选须知</w:t>
      </w:r>
    </w:p>
    <w:p w14:paraId="23B12FBF">
      <w:pPr>
        <w:pStyle w:val="205"/>
        <w:spacing w:beforeLines="25" w:line="400" w:lineRule="exact"/>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一、比选范围</w:t>
      </w:r>
    </w:p>
    <w:p w14:paraId="7DB84F8E">
      <w:pPr>
        <w:ind w:firstLine="48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4"/>
        </w:rPr>
        <w:t>宁德市福化环保科技有限公司关于省内区域（专线运输除外）危险废物运输项目，装货地点主要为漳州古雷港经济开发园区及泉州、厦门等地。货物送达地点为福州、泉州、厦门、南平、宁德、龙岩、漳州等地，签约期内总需求约为6000吨，以实际转移量为准。</w:t>
      </w:r>
      <w:r>
        <w:rPr>
          <w:rFonts w:hint="eastAsia" w:ascii="仿宋_GB2312" w:hAnsi="仿宋_GB2312" w:eastAsia="仿宋_GB2312" w:cs="仿宋_GB2312"/>
          <w:b/>
          <w:sz w:val="24"/>
        </w:rPr>
        <w:t>特别提醒：上述数据均为预估，如综合因素变化，中选人有权取消或减少相关的危险废物运输，并不承担任何赔偿，请各参选人谨慎考虑后慎重报价。</w:t>
      </w:r>
    </w:p>
    <w:p w14:paraId="1FA52B39">
      <w:pPr>
        <w:pStyle w:val="205"/>
        <w:spacing w:beforeLines="25" w:line="400" w:lineRule="exact"/>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二、定义和解释</w:t>
      </w:r>
    </w:p>
    <w:p w14:paraId="109C848C">
      <w:pPr>
        <w:spacing w:beforeLines="25" w:line="40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1、“比选人”系宁德市福化环保科技有限公司，即业主方。</w:t>
      </w:r>
    </w:p>
    <w:p w14:paraId="2910A77E">
      <w:pPr>
        <w:spacing w:beforeLines="25" w:line="40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2、“参选人”系指向比选人报名并接受邀请，领取比选文件，且已经提交或准备提交本次参选文件的法人。</w:t>
      </w:r>
    </w:p>
    <w:p w14:paraId="027DDA01">
      <w:pPr>
        <w:spacing w:beforeLines="25" w:line="40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3、“参选人代表”系指全权代表参选人参加本次比选活动并签署参选文件的人，如果参选人代表不是参选人的法定代表人，须持有《法定代表人授权委托书》。</w:t>
      </w:r>
    </w:p>
    <w:p w14:paraId="39F7BF8E">
      <w:pPr>
        <w:spacing w:beforeLines="25" w:line="40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4、“中选人”系指比选人按本比选文件的规定所确定运输单位。</w:t>
      </w:r>
    </w:p>
    <w:p w14:paraId="5C36E480">
      <w:pPr>
        <w:spacing w:beforeLines="25" w:line="40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5、参选费用：参选人自行承担。</w:t>
      </w:r>
    </w:p>
    <w:p w14:paraId="284C3B9B">
      <w:pPr>
        <w:pStyle w:val="205"/>
        <w:spacing w:beforeLines="25" w:line="400" w:lineRule="exact"/>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三、比选文件组成</w:t>
      </w:r>
    </w:p>
    <w:p w14:paraId="0EDC1655">
      <w:pPr>
        <w:spacing w:beforeLines="25" w:line="40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1、比选文件包括下列内容：比选公告、参选须知、比选需求、合同书格式、报价单、承诺函等。</w:t>
      </w:r>
    </w:p>
    <w:p w14:paraId="2151BB4F">
      <w:pPr>
        <w:spacing w:beforeLines="25" w:line="40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2、比选文件除1中内容外，比选人在比选期间发出的书面文件和其他修改或补充函件，均是比选文件不可分割的组成部分。</w:t>
      </w:r>
    </w:p>
    <w:p w14:paraId="2E514464">
      <w:pPr>
        <w:spacing w:beforeLines="25" w:line="40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3、参选人应认真阅读并充分理解比选文件的全部内容（包括所有的补充、修改、重要事项、格式、条款等），参选人没有按照比选文件要求提交全部资料，或者没有对比选文件在各方面作出实质性相应是参选人的风险，有可能导致其参选文件被拒绝，或被认定为无效参选或者被确定为参选无效。</w:t>
      </w:r>
    </w:p>
    <w:p w14:paraId="3F259863">
      <w:pPr>
        <w:pStyle w:val="205"/>
        <w:spacing w:beforeLines="25" w:line="400" w:lineRule="exact"/>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四、比选文件澄清</w:t>
      </w:r>
    </w:p>
    <w:p w14:paraId="5743D54D">
      <w:pPr>
        <w:spacing w:beforeLines="25" w:line="40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参选人获取比选文件后，应仔细检查比选文件的所有内容，如有残缺等问题应在获得招标文件3日内向比选人提出。参选人若对招标文件有任何疑问，应在参选截止时间前3日，按参选须知载明的地址以书面形式（包括书面、传真、电子邮件下同）通知到比选人。比选人将视情况确定采用适当方式予以澄清或以书面形式予以答复，澄清文件作为比选文件的组成部分，具有约束作用。</w:t>
      </w:r>
    </w:p>
    <w:p w14:paraId="0F4CD07E">
      <w:pPr>
        <w:pStyle w:val="205"/>
        <w:spacing w:beforeLines="25" w:line="400" w:lineRule="exact"/>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五、比选文件的修改、补充</w:t>
      </w:r>
    </w:p>
    <w:p w14:paraId="3FD69471">
      <w:pPr>
        <w:spacing w:beforeLines="25" w:line="40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14:paraId="77A9252E">
      <w:pPr>
        <w:spacing w:beforeLines="25" w:line="40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2、为使参选人在准备参选文件时有合理的时间考虑比选文件的修改，比选人可酌情推迟参选截止时间和评审时间，并以书面形式通知已获得比选文件的每一参选人。</w:t>
      </w:r>
    </w:p>
    <w:p w14:paraId="46536C5B">
      <w:pPr>
        <w:spacing w:beforeLines="25" w:line="40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3、比选文件的修改书将构成比选文件的一部分，对参选人具有约束作用。</w:t>
      </w:r>
    </w:p>
    <w:p w14:paraId="2B3D7EDA">
      <w:pPr>
        <w:pStyle w:val="205"/>
        <w:spacing w:beforeLines="25" w:line="400" w:lineRule="exact"/>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六、参选人资格</w:t>
      </w:r>
    </w:p>
    <w:p w14:paraId="3FBD3A51">
      <w:pPr>
        <w:spacing w:beforeLines="25" w:line="40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1、参选人资格详见比选公告。</w:t>
      </w:r>
    </w:p>
    <w:p w14:paraId="64C9B8CD">
      <w:pPr>
        <w:spacing w:beforeLines="25" w:line="40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2、参选人须具备履行合同的相关资质，中选人在结算时必须提供与参选人签章处单位名称一致的全额增值税专用发票，对于使用非本公司发票的，宁德市福化环保科技有限公司将解除与其签订的合同并无需支付任何费用。</w:t>
      </w:r>
    </w:p>
    <w:p w14:paraId="037481F1">
      <w:pPr>
        <w:pStyle w:val="205"/>
        <w:spacing w:beforeLines="25" w:line="400" w:lineRule="exact"/>
        <w:ind w:firstLine="482"/>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七、参选保证金</w:t>
      </w:r>
    </w:p>
    <w:p w14:paraId="4BAFED74">
      <w:pPr>
        <w:spacing w:beforeLines="25" w:line="40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1、保证金提交的时间：</w:t>
      </w:r>
      <w:r>
        <w:rPr>
          <w:rFonts w:hint="eastAsia" w:ascii="仿宋_GB2312" w:hAnsi="仿宋_GB2312" w:eastAsia="仿宋_GB2312" w:cs="仿宋_GB2312"/>
          <w:sz w:val="24"/>
          <w:highlight w:val="yellow"/>
        </w:rPr>
        <w:t>2024年12月</w:t>
      </w:r>
      <w:r>
        <w:rPr>
          <w:rFonts w:hint="eastAsia" w:ascii="仿宋_GB2312" w:hAnsi="仿宋_GB2312" w:eastAsia="仿宋_GB2312" w:cs="仿宋_GB2312"/>
          <w:sz w:val="24"/>
          <w:highlight w:val="yellow"/>
          <w:lang w:val="en-US" w:eastAsia="zh-CN"/>
        </w:rPr>
        <w:t>29</w:t>
      </w:r>
      <w:r>
        <w:rPr>
          <w:rFonts w:hint="eastAsia" w:ascii="仿宋_GB2312" w:hAnsi="仿宋_GB2312" w:eastAsia="仿宋_GB2312" w:cs="仿宋_GB2312"/>
          <w:sz w:val="24"/>
          <w:highlight w:val="yellow"/>
        </w:rPr>
        <w:t>日17时00分前。</w:t>
      </w:r>
    </w:p>
    <w:p w14:paraId="0B3D2EEB">
      <w:pPr>
        <w:spacing w:beforeLines="25" w:line="40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2、保证金提交的方式：从中选人所在地企业基本账户银行以电汇或银行转账的形式，汇到比选人指定的保证金账户，具体如下：</w:t>
      </w:r>
    </w:p>
    <w:p w14:paraId="2703D3FB">
      <w:pPr>
        <w:spacing w:beforeLines="25" w:line="400" w:lineRule="exact"/>
        <w:ind w:firstLine="480" w:firstLineChars="200"/>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单位名称：宁德市福化环保科技有限公司</w:t>
      </w:r>
    </w:p>
    <w:p w14:paraId="38F9DDA9">
      <w:pPr>
        <w:spacing w:beforeLines="25" w:line="400" w:lineRule="exact"/>
        <w:ind w:firstLine="480" w:firstLineChars="200"/>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开户银行：</w:t>
      </w:r>
      <w:r>
        <w:rPr>
          <w:rFonts w:hint="eastAsia" w:ascii="仿宋_GB2312" w:hAnsi="仿宋_GB2312" w:eastAsia="仿宋_GB2312" w:cs="仿宋_GB2312"/>
          <w:sz w:val="24"/>
          <w:szCs w:val="24"/>
          <w:highlight w:val="none"/>
          <w:lang w:val="en-US" w:eastAsia="zh-CN"/>
        </w:rPr>
        <w:t>上海浦东发展银行股份有限公司福州分行</w:t>
      </w:r>
    </w:p>
    <w:p w14:paraId="74D76237">
      <w:pPr>
        <w:spacing w:beforeLines="25" w:line="400" w:lineRule="exact"/>
        <w:ind w:firstLine="480" w:firstLineChars="200"/>
        <w:jc w:val="left"/>
        <w:rPr>
          <w:rFonts w:hint="eastAsia" w:ascii="仿宋_GB2312" w:hAnsi="仿宋_GB2312" w:eastAsia="仿宋_GB2312" w:cs="仿宋_GB2312"/>
          <w:sz w:val="24"/>
          <w:highlight w:val="red"/>
        </w:rPr>
      </w:pPr>
      <w:r>
        <w:rPr>
          <w:rFonts w:hint="eastAsia" w:ascii="仿宋_GB2312" w:hAnsi="仿宋_GB2312" w:eastAsia="仿宋_GB2312" w:cs="仿宋_GB2312"/>
          <w:sz w:val="24"/>
          <w:highlight w:val="none"/>
        </w:rPr>
        <w:t>账    号：</w:t>
      </w:r>
      <w:r>
        <w:rPr>
          <w:rFonts w:hint="eastAsia" w:ascii="仿宋_GB2312" w:hAnsi="仿宋_GB2312" w:eastAsia="仿宋_GB2312" w:cs="仿宋_GB2312"/>
          <w:sz w:val="24"/>
          <w:szCs w:val="24"/>
          <w:highlight w:val="none"/>
          <w:lang w:val="en-US" w:eastAsia="zh-CN"/>
        </w:rPr>
        <w:t>43010078801000005758</w:t>
      </w:r>
    </w:p>
    <w:p w14:paraId="09C4E623">
      <w:pPr>
        <w:spacing w:beforeLines="25" w:line="400" w:lineRule="exact"/>
        <w:ind w:firstLine="480"/>
        <w:rPr>
          <w:rFonts w:ascii="仿宋_GB2312" w:hAnsi="仿宋_GB2312" w:eastAsia="仿宋_GB2312" w:cs="仿宋_GB2312"/>
          <w:sz w:val="24"/>
        </w:rPr>
      </w:pPr>
      <w:r>
        <w:rPr>
          <w:rFonts w:hint="eastAsia" w:ascii="仿宋_GB2312" w:hAnsi="仿宋_GB2312" w:eastAsia="仿宋_GB2312" w:cs="仿宋_GB2312"/>
          <w:sz w:val="24"/>
        </w:rPr>
        <w:t>备    注：省内危险废物运输项目参选保证金</w:t>
      </w:r>
    </w:p>
    <w:p w14:paraId="61CE851D">
      <w:pPr>
        <w:spacing w:beforeLines="25" w:line="40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3、保证金金额：人民币30000元（大写：叁万元整）。</w:t>
      </w:r>
    </w:p>
    <w:p w14:paraId="53995260">
      <w:pPr>
        <w:spacing w:beforeLines="25" w:line="40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4、中选人的参选保证金转为履约保证金，其他参选人的保证金在中选公示结束后7个工作日内无息退回。</w:t>
      </w:r>
    </w:p>
    <w:p w14:paraId="61685F31">
      <w:pPr>
        <w:pStyle w:val="205"/>
        <w:spacing w:beforeLines="25" w:line="400" w:lineRule="exact"/>
        <w:ind w:firstLine="482"/>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八、参选文件递交</w:t>
      </w:r>
    </w:p>
    <w:p w14:paraId="6A4341F5">
      <w:pPr>
        <w:spacing w:beforeLines="25" w:line="40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1、参选文件递交的截止时间：</w:t>
      </w:r>
      <w:r>
        <w:rPr>
          <w:rFonts w:hint="eastAsia" w:ascii="仿宋_GB2312" w:hAnsi="仿宋_GB2312" w:eastAsia="仿宋_GB2312" w:cs="仿宋_GB2312"/>
          <w:sz w:val="24"/>
          <w:highlight w:val="yellow"/>
        </w:rPr>
        <w:t>202</w:t>
      </w:r>
      <w:r>
        <w:rPr>
          <w:rFonts w:hint="eastAsia" w:ascii="仿宋_GB2312" w:hAnsi="仿宋_GB2312" w:eastAsia="仿宋_GB2312" w:cs="仿宋_GB2312"/>
          <w:sz w:val="24"/>
          <w:highlight w:val="yellow"/>
          <w:lang w:val="en-US" w:eastAsia="zh-CN"/>
        </w:rPr>
        <w:t>4</w:t>
      </w:r>
      <w:r>
        <w:rPr>
          <w:rFonts w:hint="eastAsia" w:ascii="仿宋_GB2312" w:hAnsi="仿宋_GB2312" w:eastAsia="仿宋_GB2312" w:cs="仿宋_GB2312"/>
          <w:sz w:val="24"/>
          <w:highlight w:val="yellow"/>
        </w:rPr>
        <w:t>年12月</w:t>
      </w:r>
      <w:r>
        <w:rPr>
          <w:rFonts w:hint="eastAsia" w:ascii="仿宋_GB2312" w:hAnsi="仿宋_GB2312" w:eastAsia="仿宋_GB2312" w:cs="仿宋_GB2312"/>
          <w:sz w:val="24"/>
          <w:highlight w:val="yellow"/>
          <w:lang w:val="en-US" w:eastAsia="zh-CN"/>
        </w:rPr>
        <w:t>29</w:t>
      </w:r>
      <w:r>
        <w:rPr>
          <w:rFonts w:hint="eastAsia" w:ascii="仿宋_GB2312" w:hAnsi="仿宋_GB2312" w:eastAsia="仿宋_GB2312" w:cs="仿宋_GB2312"/>
          <w:sz w:val="24"/>
          <w:highlight w:val="yellow"/>
        </w:rPr>
        <w:t>日17时00分。</w:t>
      </w:r>
    </w:p>
    <w:p w14:paraId="7F7ABFEF">
      <w:pPr>
        <w:spacing w:beforeLines="25" w:line="40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2、提交参选文件的地点为：宁德市福鼎市龙安开发区龙湾路5号（宁德市福化环保科技有限公司），联系人：林先生，联系电话：15960829200。请使用</w:t>
      </w:r>
      <w:r>
        <w:rPr>
          <w:rFonts w:hint="eastAsia" w:ascii="仿宋_GB2312" w:hAnsi="仿宋_GB2312" w:eastAsia="仿宋_GB2312" w:cs="仿宋_GB2312"/>
          <w:b/>
          <w:bCs/>
          <w:sz w:val="24"/>
          <w:u w:val="single"/>
        </w:rPr>
        <w:t>顺丰</w:t>
      </w:r>
      <w:r>
        <w:rPr>
          <w:rFonts w:hint="eastAsia" w:ascii="仿宋_GB2312" w:hAnsi="仿宋_GB2312" w:eastAsia="仿宋_GB2312" w:cs="仿宋_GB2312"/>
          <w:sz w:val="24"/>
        </w:rPr>
        <w:t>进行邮寄。</w:t>
      </w:r>
    </w:p>
    <w:p w14:paraId="08035F40">
      <w:pPr>
        <w:spacing w:beforeLines="25" w:line="40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3、逾期送达的或未送达指定地点或参选文件密封不符合规定要求的参选文件，比选人不予受理。</w:t>
      </w:r>
    </w:p>
    <w:p w14:paraId="64D1F93F">
      <w:pPr>
        <w:pStyle w:val="3"/>
        <w:spacing w:before="0" w:line="500" w:lineRule="exact"/>
        <w:jc w:val="center"/>
        <w:rPr>
          <w:rFonts w:hint="eastAsia" w:ascii="黑体" w:hAnsi="黑体" w:eastAsia="黑体" w:cs="黑体"/>
          <w:b w:val="0"/>
          <w:kern w:val="2"/>
          <w:sz w:val="28"/>
          <w:szCs w:val="28"/>
        </w:rPr>
      </w:pPr>
      <w:r>
        <w:rPr>
          <w:rFonts w:hint="eastAsia" w:ascii="黑体" w:hAnsi="黑体" w:eastAsia="黑体" w:cs="黑体"/>
          <w:b w:val="0"/>
          <w:kern w:val="2"/>
          <w:sz w:val="28"/>
          <w:szCs w:val="28"/>
        </w:rPr>
        <w:t>第三章</w:t>
      </w:r>
      <w:r>
        <w:rPr>
          <w:rFonts w:hint="eastAsia" w:ascii="黑体" w:hAnsi="黑体" w:eastAsia="黑体" w:cs="黑体"/>
          <w:b w:val="0"/>
          <w:kern w:val="2"/>
          <w:sz w:val="28"/>
          <w:szCs w:val="28"/>
        </w:rPr>
        <w:tab/>
      </w:r>
      <w:r>
        <w:rPr>
          <w:rFonts w:hint="eastAsia" w:ascii="黑体" w:hAnsi="黑体" w:eastAsia="黑体" w:cs="黑体"/>
          <w:b w:val="0"/>
          <w:kern w:val="2"/>
          <w:sz w:val="28"/>
          <w:szCs w:val="28"/>
        </w:rPr>
        <w:t>比选需求</w:t>
      </w:r>
    </w:p>
    <w:p w14:paraId="37ACB751">
      <w:pPr>
        <w:pStyle w:val="205"/>
        <w:spacing w:beforeLines="25" w:line="400" w:lineRule="exact"/>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一、对参选人拟配备车辆的要求</w:t>
      </w:r>
    </w:p>
    <w:p w14:paraId="4F5F6E28">
      <w:pPr>
        <w:spacing w:beforeLines="25" w:line="40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1、拟配备的运输车辆应备有相关的危废运输资质；</w:t>
      </w:r>
    </w:p>
    <w:p w14:paraId="29D8E5D2">
      <w:pPr>
        <w:spacing w:beforeLines="25" w:line="40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2、参选人具有5辆以上（含5辆）危险货物运输车辆，并投保相应保险，安装GPS定位系统及车载监控系统（须提供交强险、车损险、第三者责任险、车内人员险等保单复印件，其中第三者责任险≥100万，座位险≥10万/座）；</w:t>
      </w:r>
    </w:p>
    <w:p w14:paraId="7318DE42">
      <w:pPr>
        <w:spacing w:beforeLines="25" w:line="40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3、拟配备的运输车辆应具备防风防雨防晒等环保应急处理设施；</w:t>
      </w:r>
    </w:p>
    <w:p w14:paraId="55898030">
      <w:pPr>
        <w:spacing w:beforeLines="25" w:line="400" w:lineRule="exact"/>
        <w:jc w:val="left"/>
        <w:rPr>
          <w:rFonts w:hint="eastAsia" w:ascii="仿宋_GB2312" w:hAnsi="仿宋_GB2312" w:eastAsia="仿宋_GB2312" w:cs="仿宋_GB2312"/>
          <w:u w:val="single"/>
        </w:rPr>
      </w:pPr>
      <w:r>
        <w:rPr>
          <w:rFonts w:hint="eastAsia" w:ascii="仿宋_GB2312" w:hAnsi="仿宋_GB2312" w:eastAsia="仿宋_GB2312" w:cs="仿宋_GB2312"/>
          <w:sz w:val="24"/>
        </w:rPr>
        <w:t xml:space="preserve">    4、参选人须</w:t>
      </w:r>
      <w:r>
        <w:rPr>
          <w:rFonts w:hint="eastAsia" w:ascii="仿宋_GB2312" w:hAnsi="仿宋_GB2312" w:eastAsia="仿宋_GB2312" w:cs="仿宋_GB2312"/>
          <w:sz w:val="24"/>
          <w:lang w:val="en-US" w:eastAsia="zh-CN"/>
        </w:rPr>
        <w:t>配备平板车、</w:t>
      </w:r>
      <w:r>
        <w:rPr>
          <w:rFonts w:hint="eastAsia" w:ascii="仿宋_GB2312" w:hAnsi="仿宋_GB2312" w:eastAsia="仿宋_GB2312" w:cs="仿宋_GB2312"/>
          <w:sz w:val="24"/>
        </w:rPr>
        <w:t>栏板车、厢式车（含展翼）</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且至少有1辆荷载量30吨的展冀货车。</w:t>
      </w:r>
    </w:p>
    <w:p w14:paraId="4CC65C34">
      <w:pPr>
        <w:pStyle w:val="205"/>
        <w:spacing w:beforeLines="25" w:line="400" w:lineRule="exact"/>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二、对参选人拟配备人员的要求</w:t>
      </w:r>
    </w:p>
    <w:p w14:paraId="6E7E7F36">
      <w:pPr>
        <w:spacing w:beforeLines="25" w:line="40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每部危废车辆均需配备1名专业运输人员和1名专业的押运员，持证上岗。</w:t>
      </w:r>
    </w:p>
    <w:p w14:paraId="1CE5B4E3">
      <w:pPr>
        <w:pStyle w:val="205"/>
        <w:spacing w:beforeLines="25" w:line="400" w:lineRule="exact"/>
        <w:ind w:firstLine="482"/>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三、服务期及服务时间</w:t>
      </w:r>
    </w:p>
    <w:p w14:paraId="40EF61D6">
      <w:pPr>
        <w:spacing w:beforeLines="25" w:line="400" w:lineRule="exact"/>
        <w:ind w:firstLine="480"/>
        <w:jc w:val="left"/>
        <w:rPr>
          <w:rFonts w:hint="eastAsia" w:ascii="仿宋_GB2312" w:hAnsi="仿宋_GB2312" w:eastAsia="仿宋_GB2312" w:cs="仿宋_GB2312"/>
          <w:sz w:val="24"/>
        </w:rPr>
      </w:pPr>
      <w:r>
        <w:rPr>
          <w:rFonts w:hint="eastAsia" w:ascii="仿宋_GB2312" w:hAnsi="仿宋_GB2312" w:eastAsia="仿宋_GB2312" w:cs="仿宋_GB2312"/>
          <w:sz w:val="24"/>
        </w:rPr>
        <w:t>本次比选的服务期为1年，自合同签订之日起计算。任意时间调配。参选人应合理安排拟配备人员的休息休假，确保比选人的运输要求，能满足比选人应急转运需求。</w:t>
      </w:r>
    </w:p>
    <w:p w14:paraId="7AFFFD0F">
      <w:pPr>
        <w:pStyle w:val="205"/>
        <w:spacing w:beforeLines="25" w:line="400" w:lineRule="exact"/>
        <w:ind w:firstLine="482"/>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四、运输服务要求</w:t>
      </w:r>
    </w:p>
    <w:p w14:paraId="24096DCB">
      <w:pPr>
        <w:spacing w:beforeLines="25" w:line="400" w:lineRule="exact"/>
        <w:ind w:firstLine="480"/>
        <w:jc w:val="left"/>
        <w:rPr>
          <w:rFonts w:hint="eastAsia" w:ascii="仿宋_GB2312" w:hAnsi="仿宋_GB2312" w:eastAsia="仿宋_GB2312" w:cs="仿宋_GB2312"/>
          <w:sz w:val="24"/>
        </w:rPr>
      </w:pPr>
      <w:r>
        <w:rPr>
          <w:rFonts w:hint="eastAsia" w:ascii="仿宋_GB2312" w:hAnsi="仿宋_GB2312" w:eastAsia="仿宋_GB2312" w:cs="仿宋_GB2312"/>
          <w:sz w:val="24"/>
        </w:rPr>
        <w:t>1、规范作业，安全、及时完成运输任务，在满足国家道路运输许可要求前提下，进行最大化装载运输；</w:t>
      </w:r>
    </w:p>
    <w:p w14:paraId="79DE1AAD">
      <w:pPr>
        <w:spacing w:beforeLines="25" w:line="400" w:lineRule="exact"/>
        <w:ind w:firstLine="480"/>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2、服务期内无安全事故、环境污染事故； </w:t>
      </w:r>
    </w:p>
    <w:p w14:paraId="1B970A8E">
      <w:pPr>
        <w:spacing w:beforeLines="25" w:line="400" w:lineRule="exact"/>
        <w:ind w:firstLine="480"/>
        <w:jc w:val="left"/>
        <w:rPr>
          <w:rFonts w:hint="eastAsia" w:ascii="仿宋_GB2312" w:hAnsi="仿宋_GB2312" w:eastAsia="仿宋_GB2312" w:cs="仿宋_GB2312"/>
          <w:sz w:val="24"/>
        </w:rPr>
      </w:pPr>
      <w:r>
        <w:rPr>
          <w:rFonts w:hint="eastAsia" w:ascii="仿宋_GB2312" w:hAnsi="仿宋_GB2312" w:eastAsia="仿宋_GB2312" w:cs="仿宋_GB2312"/>
          <w:sz w:val="24"/>
        </w:rPr>
        <w:t>3、严格遵守产废单位及比选人的安全生产制度，因不遵守安全规定而发生的不安全后果，参选人自负责任。</w:t>
      </w:r>
    </w:p>
    <w:p w14:paraId="751F0154">
      <w:pPr>
        <w:spacing w:beforeLines="25" w:line="400" w:lineRule="exact"/>
        <w:ind w:firstLine="480"/>
        <w:jc w:val="left"/>
        <w:rPr>
          <w:rFonts w:hint="eastAsia" w:ascii="仿宋_GB2312" w:hAnsi="仿宋_GB2312" w:eastAsia="仿宋_GB2312" w:cs="仿宋_GB2312"/>
          <w:sz w:val="24"/>
        </w:rPr>
      </w:pPr>
      <w:r>
        <w:rPr>
          <w:rFonts w:hint="eastAsia" w:ascii="仿宋_GB2312" w:hAnsi="仿宋_GB2312" w:eastAsia="仿宋_GB2312" w:cs="仿宋_GB2312"/>
          <w:sz w:val="24"/>
        </w:rPr>
        <w:t>4、有关危废收运过程中(含进入产废企业厂区及运输往返途中)，参选人须遵守产废企业的规章制度，由于参选人的原因造成的一切责任皆由参选人自行承担。如遇比选人与产废企业之间签订的诸如《危化品安全管理协议》《承包商安全生产管理协议》《承揽商入厂健康承诺书》《环保协议书》此类等协议，则承运的中选人须与产废企业签订上述协议，或与比选人签订协议，承诺承担产废企业关于安全环保的全部要求，并承担相应责任。</w:t>
      </w:r>
    </w:p>
    <w:p w14:paraId="1545A1BC">
      <w:pPr>
        <w:spacing w:beforeLines="25" w:line="400" w:lineRule="exact"/>
        <w:ind w:firstLine="480"/>
        <w:jc w:val="left"/>
        <w:rPr>
          <w:rFonts w:hint="eastAsia" w:ascii="仿宋_GB2312" w:hAnsi="仿宋_GB2312" w:eastAsia="仿宋_GB2312" w:cs="仿宋_GB2312"/>
          <w:sz w:val="24"/>
        </w:rPr>
      </w:pPr>
      <w:r>
        <w:rPr>
          <w:rFonts w:hint="eastAsia" w:ascii="仿宋_GB2312" w:hAnsi="仿宋_GB2312" w:eastAsia="仿宋_GB2312" w:cs="仿宋_GB2312"/>
          <w:sz w:val="24"/>
        </w:rPr>
        <w:t>5、遵守比选人的物流供应商考核制度，并接受比选人对参选人的考核评价结果。</w:t>
      </w:r>
    </w:p>
    <w:p w14:paraId="2F48E295">
      <w:pPr>
        <w:spacing w:beforeLines="25" w:line="400" w:lineRule="exact"/>
        <w:ind w:firstLine="480"/>
        <w:jc w:val="left"/>
        <w:rPr>
          <w:rFonts w:hint="eastAsia" w:ascii="仿宋_GB2312" w:hAnsi="仿宋_GB2312" w:eastAsia="仿宋_GB2312" w:cs="仿宋_GB2312"/>
          <w:sz w:val="24"/>
        </w:rPr>
      </w:pPr>
      <w:r>
        <w:rPr>
          <w:rFonts w:hint="eastAsia" w:ascii="仿宋_GB2312" w:hAnsi="仿宋_GB2312" w:eastAsia="仿宋_GB2312" w:cs="仿宋_GB2312"/>
          <w:sz w:val="24"/>
        </w:rPr>
        <w:t>6、严格遵守以下最新标准《危险废物收集、贮存、运输技术规范》》（HJ2025）、《危险废物转移联单管理办法》、《危险废物贮存污染控制标准》（GB18597）等与危废运输、包装、标识相关的法律法规。</w:t>
      </w:r>
    </w:p>
    <w:p w14:paraId="20293BEA">
      <w:pPr>
        <w:spacing w:beforeLines="25" w:line="400" w:lineRule="exact"/>
        <w:ind w:firstLine="480"/>
        <w:jc w:val="left"/>
        <w:rPr>
          <w:rFonts w:hint="eastAsia" w:ascii="仿宋_GB2312" w:hAnsi="仿宋_GB2312" w:eastAsia="仿宋_GB2312" w:cs="仿宋_GB2312"/>
          <w:sz w:val="24"/>
        </w:rPr>
      </w:pPr>
      <w:r>
        <w:rPr>
          <w:rFonts w:hint="eastAsia" w:ascii="仿宋_GB2312" w:hAnsi="仿宋_GB2312" w:eastAsia="仿宋_GB2312" w:cs="仿宋_GB2312"/>
          <w:sz w:val="24"/>
        </w:rPr>
        <w:t>7、服务期内应</w:t>
      </w:r>
      <w:r>
        <w:rPr>
          <w:rFonts w:hint="eastAsia" w:ascii="仿宋_GB2312" w:hAnsi="仿宋_GB2312" w:eastAsia="仿宋_GB2312" w:cs="仿宋_GB2312"/>
          <w:b/>
          <w:bCs/>
          <w:sz w:val="24"/>
          <w:u w:val="single"/>
        </w:rPr>
        <w:t>满足比选人应急运输需求</w:t>
      </w:r>
      <w:r>
        <w:rPr>
          <w:rFonts w:hint="eastAsia" w:ascii="仿宋_GB2312" w:hAnsi="仿宋_GB2312" w:eastAsia="仿宋_GB2312" w:cs="仿宋_GB2312"/>
          <w:sz w:val="24"/>
        </w:rPr>
        <w:t>，不得以任何理由推脱或者拒运。</w:t>
      </w:r>
    </w:p>
    <w:p w14:paraId="264FB5AB">
      <w:pPr>
        <w:spacing w:beforeLines="25" w:line="400" w:lineRule="exact"/>
        <w:ind w:firstLine="480"/>
        <w:jc w:val="left"/>
        <w:rPr>
          <w:rFonts w:hint="eastAsia" w:ascii="仿宋_GB2312" w:hAnsi="仿宋_GB2312" w:eastAsia="仿宋_GB2312" w:cs="仿宋_GB2312"/>
          <w:sz w:val="24"/>
        </w:rPr>
      </w:pPr>
      <w:r>
        <w:rPr>
          <w:rFonts w:hint="eastAsia" w:ascii="仿宋_GB2312" w:hAnsi="仿宋_GB2312" w:eastAsia="仿宋_GB2312" w:cs="仿宋_GB2312"/>
          <w:sz w:val="24"/>
        </w:rPr>
        <w:t>8、</w:t>
      </w:r>
      <w:r>
        <w:rPr>
          <w:rFonts w:hint="eastAsia" w:ascii="仿宋_GB2312" w:hAnsi="仿宋_GB2312" w:eastAsia="仿宋_GB2312" w:cs="仿宋_GB2312"/>
          <w:b/>
          <w:bCs/>
          <w:sz w:val="24"/>
          <w:u w:val="single"/>
        </w:rPr>
        <w:t>服务期内应无偿配合比选人返还危险废物包装物（不限于吨桶、托盘、吨袋等）至部分产废企业。</w:t>
      </w:r>
      <w:r>
        <w:rPr>
          <w:rFonts w:hint="eastAsia" w:ascii="仿宋_GB2312" w:hAnsi="仿宋_GB2312" w:eastAsia="仿宋_GB2312" w:cs="仿宋_GB2312"/>
          <w:sz w:val="24"/>
        </w:rPr>
        <w:t>比选人统筹安排产废企业的包装物返还路线，尽量顺路返还，中选人不另外收取费用。如须安排专车返还的，参选人按中选价格的70%向比选人收取费用，参选人不得拒绝（制定返还服务单，业主、比选人、参选人三方签字确认）。</w:t>
      </w:r>
    </w:p>
    <w:p w14:paraId="78CDAAD1">
      <w:pPr>
        <w:pStyle w:val="205"/>
        <w:spacing w:beforeLines="25" w:line="400" w:lineRule="exact"/>
        <w:ind w:firstLine="482"/>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五、报价要求</w:t>
      </w:r>
    </w:p>
    <w:p w14:paraId="7B4230C4">
      <w:pPr>
        <w:spacing w:beforeLines="25" w:line="400" w:lineRule="exact"/>
        <w:ind w:firstLine="480"/>
        <w:jc w:val="left"/>
        <w:rPr>
          <w:rFonts w:hint="eastAsia" w:ascii="仿宋_GB2312" w:hAnsi="仿宋_GB2312" w:eastAsia="仿宋_GB2312" w:cs="仿宋_GB2312"/>
          <w:sz w:val="24"/>
        </w:rPr>
      </w:pPr>
      <w:r>
        <w:rPr>
          <w:rFonts w:hint="eastAsia" w:ascii="仿宋_GB2312" w:hAnsi="仿宋_GB2312" w:eastAsia="仿宋_GB2312" w:cs="仿宋_GB2312"/>
          <w:sz w:val="24"/>
        </w:rPr>
        <w:t>（1）选取100-250km(含)运距区间的最低报价为中选基准价格，报价单位为“（元/吨·公里）”，</w:t>
      </w:r>
      <w:r>
        <w:rPr>
          <w:rFonts w:hint="eastAsia" w:ascii="仿宋_GB2312" w:hAnsi="仿宋_GB2312" w:eastAsia="仿宋_GB2312" w:cs="仿宋_GB2312"/>
          <w:b/>
          <w:bCs/>
          <w:sz w:val="24"/>
          <w:u w:val="single"/>
        </w:rPr>
        <w:t>报价不得超过小数点后两位</w:t>
      </w:r>
      <w:r>
        <w:rPr>
          <w:rFonts w:hint="eastAsia" w:ascii="仿宋_GB2312" w:hAnsi="仿宋_GB2312" w:eastAsia="仿宋_GB2312" w:cs="仿宋_GB2312"/>
          <w:sz w:val="24"/>
        </w:rPr>
        <w:t xml:space="preserve">（如报价存在三位小数点则视为无效)，其他各区间的基准价按四舍五入保留小数点后两位。 </w:t>
      </w:r>
    </w:p>
    <w:p w14:paraId="7D0809CF">
      <w:pPr>
        <w:spacing w:beforeLines="25" w:line="400" w:lineRule="exact"/>
        <w:ind w:firstLine="480"/>
        <w:jc w:val="left"/>
        <w:rPr>
          <w:rFonts w:hint="eastAsia" w:ascii="仿宋_GB2312" w:hAnsi="仿宋_GB2312" w:eastAsia="仿宋_GB2312" w:cs="仿宋_GB2312"/>
          <w:sz w:val="24"/>
        </w:rPr>
      </w:pPr>
      <w:r>
        <w:rPr>
          <w:rFonts w:hint="eastAsia" w:ascii="仿宋_GB2312" w:hAnsi="仿宋_GB2312" w:eastAsia="仿宋_GB2312" w:cs="仿宋_GB2312"/>
          <w:sz w:val="24"/>
        </w:rPr>
        <w:t>（2）根据参选人100-250km(含)报价及比选文件确定的系数依次计算出对应公里区间的吨公里运价，作为各运距区间基准价（单位：元/吨·公里）。</w:t>
      </w:r>
    </w:p>
    <w:p w14:paraId="3FA1CFD9">
      <w:pPr>
        <w:widowControl/>
        <w:spacing w:beforeLines="25" w:line="400" w:lineRule="exact"/>
        <w:ind w:firstLine="480"/>
        <w:jc w:val="left"/>
        <w:rPr>
          <w:rFonts w:hint="eastAsia" w:ascii="仿宋_GB2312" w:hAnsi="仿宋_GB2312" w:eastAsia="仿宋_GB2312" w:cs="仿宋_GB2312"/>
          <w:sz w:val="24"/>
        </w:rPr>
      </w:pPr>
      <w:r>
        <w:rPr>
          <w:rFonts w:hint="eastAsia" w:ascii="仿宋_GB2312" w:hAnsi="仿宋_GB2312" w:eastAsia="仿宋_GB2312" w:cs="仿宋_GB2312"/>
          <w:sz w:val="24"/>
        </w:rPr>
        <w:t>（3）基准价：根据100-250 公里（含）参选报价为依据，按系数计算所对应运距区间的吨公里运价为基准价。</w:t>
      </w:r>
    </w:p>
    <w:p w14:paraId="1663B443">
      <w:pPr>
        <w:spacing w:beforeLines="25" w:line="400" w:lineRule="exact"/>
        <w:ind w:firstLine="480"/>
        <w:jc w:val="left"/>
        <w:rPr>
          <w:rFonts w:hint="eastAsia" w:ascii="仿宋_GB2312" w:hAnsi="仿宋_GB2312" w:eastAsia="仿宋_GB2312" w:cs="仿宋_GB2312"/>
          <w:sz w:val="24"/>
        </w:rPr>
      </w:pPr>
      <w:r>
        <w:rPr>
          <w:rFonts w:hint="eastAsia" w:ascii="仿宋_GB2312" w:hAnsi="仿宋_GB2312" w:eastAsia="仿宋_GB2312" w:cs="仿宋_GB2312"/>
          <w:sz w:val="24"/>
        </w:rPr>
        <w:t>（4）本次参选报价不含叉车装卸、劳务等费用（另计），必要时驾驶员及押运员应能无条件配合装卸车（含挂带）服务。</w:t>
      </w:r>
    </w:p>
    <w:p w14:paraId="53A4BF7A">
      <w:pPr>
        <w:spacing w:beforeLines="25" w:line="400" w:lineRule="exact"/>
        <w:ind w:firstLine="480"/>
        <w:jc w:val="left"/>
        <w:rPr>
          <w:rFonts w:hint="eastAsia" w:ascii="仿宋_GB2312" w:hAnsi="仿宋_GB2312" w:eastAsia="仿宋_GB2312" w:cs="仿宋_GB2312"/>
          <w:sz w:val="24"/>
        </w:rPr>
      </w:pPr>
      <w:r>
        <w:rPr>
          <w:rFonts w:hint="eastAsia" w:ascii="仿宋_GB2312" w:hAnsi="仿宋_GB2312" w:eastAsia="仿宋_GB2312" w:cs="仿宋_GB2312"/>
          <w:sz w:val="24"/>
        </w:rPr>
        <w:t>（5）系数表</w:t>
      </w:r>
    </w:p>
    <w:tbl>
      <w:tblPr>
        <w:tblStyle w:val="31"/>
        <w:tblW w:w="9554" w:type="dxa"/>
        <w:tblInd w:w="-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186"/>
        <w:gridCol w:w="2040"/>
        <w:gridCol w:w="2055"/>
        <w:gridCol w:w="2013"/>
      </w:tblGrid>
      <w:tr w14:paraId="268A5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260" w:type="dxa"/>
            <w:vAlign w:val="center"/>
          </w:tcPr>
          <w:p w14:paraId="54D613DA">
            <w:pPr>
              <w:pStyle w:val="205"/>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运距</w:t>
            </w:r>
          </w:p>
        </w:tc>
        <w:tc>
          <w:tcPr>
            <w:tcW w:w="2186" w:type="dxa"/>
            <w:vAlign w:val="center"/>
          </w:tcPr>
          <w:p w14:paraId="14F106D3">
            <w:pPr>
              <w:pStyle w:val="205"/>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1-100KM（含）</w:t>
            </w:r>
          </w:p>
        </w:tc>
        <w:tc>
          <w:tcPr>
            <w:tcW w:w="2040" w:type="dxa"/>
            <w:vAlign w:val="center"/>
          </w:tcPr>
          <w:p w14:paraId="59DF4357">
            <w:pPr>
              <w:pStyle w:val="205"/>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100-250KM（含）</w:t>
            </w:r>
          </w:p>
        </w:tc>
        <w:tc>
          <w:tcPr>
            <w:tcW w:w="2055" w:type="dxa"/>
            <w:vAlign w:val="center"/>
          </w:tcPr>
          <w:p w14:paraId="5D0C6844">
            <w:pPr>
              <w:pStyle w:val="205"/>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250-400KM（含）</w:t>
            </w:r>
          </w:p>
        </w:tc>
        <w:tc>
          <w:tcPr>
            <w:tcW w:w="2013" w:type="dxa"/>
            <w:vAlign w:val="center"/>
          </w:tcPr>
          <w:p w14:paraId="53E13D1D">
            <w:pPr>
              <w:pStyle w:val="205"/>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400KM 以上</w:t>
            </w:r>
          </w:p>
        </w:tc>
      </w:tr>
      <w:tr w14:paraId="5920E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60" w:type="dxa"/>
            <w:vMerge w:val="restart"/>
            <w:vAlign w:val="center"/>
          </w:tcPr>
          <w:p w14:paraId="4554EA58">
            <w:pPr>
              <w:pStyle w:val="205"/>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结算价格</w:t>
            </w:r>
          </w:p>
        </w:tc>
        <w:tc>
          <w:tcPr>
            <w:tcW w:w="2186" w:type="dxa"/>
            <w:vAlign w:val="center"/>
          </w:tcPr>
          <w:p w14:paraId="6F664187">
            <w:pPr>
              <w:pStyle w:val="205"/>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基准价×1.2</w:t>
            </w:r>
          </w:p>
        </w:tc>
        <w:tc>
          <w:tcPr>
            <w:tcW w:w="2040" w:type="dxa"/>
            <w:vAlign w:val="center"/>
          </w:tcPr>
          <w:p w14:paraId="159F84C6">
            <w:pPr>
              <w:pStyle w:val="205"/>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基准价</w:t>
            </w:r>
          </w:p>
        </w:tc>
        <w:tc>
          <w:tcPr>
            <w:tcW w:w="2055" w:type="dxa"/>
            <w:vAlign w:val="center"/>
          </w:tcPr>
          <w:p w14:paraId="6A24CCDA">
            <w:pPr>
              <w:pStyle w:val="205"/>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基准价×0.9</w:t>
            </w:r>
          </w:p>
        </w:tc>
        <w:tc>
          <w:tcPr>
            <w:tcW w:w="2013" w:type="dxa"/>
            <w:vAlign w:val="center"/>
          </w:tcPr>
          <w:p w14:paraId="1B7C196E">
            <w:pPr>
              <w:pStyle w:val="205"/>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基准价×0.8</w:t>
            </w:r>
          </w:p>
        </w:tc>
      </w:tr>
      <w:tr w14:paraId="7278F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60" w:type="dxa"/>
            <w:vMerge w:val="continue"/>
            <w:vAlign w:val="center"/>
          </w:tcPr>
          <w:p w14:paraId="54309CBA">
            <w:pPr>
              <w:pStyle w:val="205"/>
              <w:spacing w:line="500" w:lineRule="exact"/>
              <w:jc w:val="center"/>
              <w:rPr>
                <w:rFonts w:hint="eastAsia" w:ascii="仿宋_GB2312" w:hAnsi="仿宋_GB2312" w:eastAsia="仿宋_GB2312" w:cs="仿宋_GB2312"/>
                <w:sz w:val="24"/>
                <w:szCs w:val="24"/>
              </w:rPr>
            </w:pPr>
          </w:p>
        </w:tc>
        <w:tc>
          <w:tcPr>
            <w:tcW w:w="2186" w:type="dxa"/>
            <w:vAlign w:val="center"/>
          </w:tcPr>
          <w:p w14:paraId="4FE0A766">
            <w:pPr>
              <w:pStyle w:val="205"/>
              <w:spacing w:line="500" w:lineRule="exact"/>
              <w:jc w:val="center"/>
              <w:rPr>
                <w:rFonts w:hint="eastAsia" w:ascii="仿宋_GB2312" w:hAnsi="仿宋_GB2312" w:eastAsia="仿宋_GB2312" w:cs="仿宋_GB2312"/>
                <w:sz w:val="24"/>
                <w:szCs w:val="24"/>
              </w:rPr>
            </w:pPr>
          </w:p>
        </w:tc>
        <w:tc>
          <w:tcPr>
            <w:tcW w:w="2040" w:type="dxa"/>
            <w:vAlign w:val="center"/>
          </w:tcPr>
          <w:p w14:paraId="4A37CEE7">
            <w:pPr>
              <w:pStyle w:val="205"/>
              <w:spacing w:line="500" w:lineRule="exact"/>
              <w:jc w:val="center"/>
              <w:rPr>
                <w:rFonts w:hint="eastAsia" w:ascii="仿宋_GB2312" w:hAnsi="仿宋_GB2312" w:eastAsia="仿宋_GB2312" w:cs="仿宋_GB2312"/>
                <w:sz w:val="24"/>
                <w:szCs w:val="24"/>
              </w:rPr>
            </w:pPr>
          </w:p>
        </w:tc>
        <w:tc>
          <w:tcPr>
            <w:tcW w:w="2055" w:type="dxa"/>
            <w:vAlign w:val="center"/>
          </w:tcPr>
          <w:p w14:paraId="5365610F">
            <w:pPr>
              <w:pStyle w:val="205"/>
              <w:spacing w:line="500" w:lineRule="exact"/>
              <w:jc w:val="center"/>
              <w:rPr>
                <w:rFonts w:hint="eastAsia" w:ascii="仿宋_GB2312" w:hAnsi="仿宋_GB2312" w:eastAsia="仿宋_GB2312" w:cs="仿宋_GB2312"/>
                <w:sz w:val="24"/>
                <w:szCs w:val="24"/>
              </w:rPr>
            </w:pPr>
          </w:p>
        </w:tc>
        <w:tc>
          <w:tcPr>
            <w:tcW w:w="2013" w:type="dxa"/>
            <w:vAlign w:val="center"/>
          </w:tcPr>
          <w:p w14:paraId="6740C42D">
            <w:pPr>
              <w:pStyle w:val="205"/>
              <w:spacing w:line="500" w:lineRule="exact"/>
              <w:jc w:val="center"/>
              <w:rPr>
                <w:rFonts w:hint="eastAsia" w:ascii="仿宋_GB2312" w:hAnsi="仿宋_GB2312" w:eastAsia="仿宋_GB2312" w:cs="仿宋_GB2312"/>
                <w:sz w:val="24"/>
                <w:szCs w:val="24"/>
              </w:rPr>
            </w:pPr>
          </w:p>
        </w:tc>
      </w:tr>
      <w:tr w14:paraId="20753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260" w:type="dxa"/>
            <w:vAlign w:val="center"/>
          </w:tcPr>
          <w:p w14:paraId="7EDDED4D">
            <w:pPr>
              <w:pStyle w:val="205"/>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c>
          <w:tcPr>
            <w:tcW w:w="8294" w:type="dxa"/>
            <w:gridSpan w:val="4"/>
          </w:tcPr>
          <w:p w14:paraId="32A439E2">
            <w:pPr>
              <w:pStyle w:val="2"/>
              <w:spacing w:line="500" w:lineRule="exact"/>
              <w:rPr>
                <w:rFonts w:hint="eastAsia" w:ascii="仿宋_GB2312" w:hAnsi="仿宋_GB2312" w:eastAsia="仿宋_GB2312" w:cs="仿宋_GB2312"/>
                <w:b w:val="0"/>
                <w:spacing w:val="0"/>
                <w:sz w:val="24"/>
                <w:szCs w:val="24"/>
              </w:rPr>
            </w:pPr>
            <w:r>
              <w:rPr>
                <w:rFonts w:hint="eastAsia" w:ascii="仿宋_GB2312" w:hAnsi="仿宋_GB2312" w:eastAsia="仿宋_GB2312" w:cs="仿宋_GB2312"/>
                <w:b w:val="0"/>
                <w:spacing w:val="0"/>
                <w:sz w:val="24"/>
                <w:szCs w:val="24"/>
              </w:rPr>
              <w:t>1.基准价：100-250KM（含）运距的结算价格</w:t>
            </w:r>
          </w:p>
          <w:p w14:paraId="7CACC7D7">
            <w:pPr>
              <w:pStyle w:val="2"/>
              <w:spacing w:line="500" w:lineRule="exact"/>
              <w:rPr>
                <w:rFonts w:hint="eastAsia" w:ascii="仿宋_GB2312" w:hAnsi="仿宋_GB2312" w:eastAsia="仿宋_GB2312" w:cs="仿宋_GB2312"/>
                <w:b w:val="0"/>
                <w:spacing w:val="0"/>
                <w:sz w:val="24"/>
                <w:szCs w:val="24"/>
              </w:rPr>
            </w:pPr>
            <w:r>
              <w:rPr>
                <w:rFonts w:hint="eastAsia" w:ascii="仿宋_GB2312" w:hAnsi="仿宋_GB2312" w:eastAsia="仿宋_GB2312" w:cs="仿宋_GB2312"/>
                <w:b w:val="0"/>
                <w:spacing w:val="0"/>
                <w:sz w:val="24"/>
                <w:szCs w:val="24"/>
              </w:rPr>
              <w:t>2.1-100KM（含）：为基准价的120%</w:t>
            </w:r>
          </w:p>
          <w:p w14:paraId="1CA272B1">
            <w:pPr>
              <w:pStyle w:val="2"/>
              <w:spacing w:line="500" w:lineRule="exact"/>
              <w:rPr>
                <w:rFonts w:hint="eastAsia" w:ascii="仿宋_GB2312" w:hAnsi="仿宋_GB2312" w:eastAsia="仿宋_GB2312" w:cs="仿宋_GB2312"/>
                <w:b w:val="0"/>
                <w:spacing w:val="0"/>
                <w:sz w:val="24"/>
                <w:szCs w:val="24"/>
              </w:rPr>
            </w:pPr>
            <w:r>
              <w:rPr>
                <w:rFonts w:hint="eastAsia" w:ascii="仿宋_GB2312" w:hAnsi="仿宋_GB2312" w:eastAsia="仿宋_GB2312" w:cs="仿宋_GB2312"/>
                <w:b w:val="0"/>
                <w:spacing w:val="0"/>
                <w:sz w:val="24"/>
                <w:szCs w:val="24"/>
              </w:rPr>
              <w:t>3.250-400KM（含）：为基准价的90%</w:t>
            </w:r>
          </w:p>
          <w:p w14:paraId="5315FD29">
            <w:pPr>
              <w:pStyle w:val="2"/>
              <w:spacing w:line="500" w:lineRule="exact"/>
              <w:rPr>
                <w:rFonts w:hint="eastAsia" w:ascii="仿宋_GB2312" w:hAnsi="仿宋_GB2312" w:eastAsia="仿宋_GB2312" w:cs="仿宋_GB2312"/>
                <w:b w:val="0"/>
                <w:spacing w:val="0"/>
                <w:sz w:val="24"/>
                <w:szCs w:val="24"/>
              </w:rPr>
            </w:pPr>
            <w:r>
              <w:rPr>
                <w:rFonts w:hint="eastAsia" w:ascii="仿宋_GB2312" w:hAnsi="仿宋_GB2312" w:eastAsia="仿宋_GB2312" w:cs="仿宋_GB2312"/>
                <w:b w:val="0"/>
                <w:spacing w:val="0"/>
                <w:sz w:val="24"/>
                <w:szCs w:val="24"/>
              </w:rPr>
              <w:t>4.400KM以上：为基准价的80%</w:t>
            </w:r>
          </w:p>
          <w:p w14:paraId="6EC27922">
            <w:pPr>
              <w:pStyle w:val="2"/>
              <w:spacing w:line="500" w:lineRule="exact"/>
              <w:rPr>
                <w:rFonts w:hint="eastAsia" w:ascii="仿宋_GB2312" w:hAnsi="仿宋_GB2312" w:eastAsia="仿宋_GB2312" w:cs="仿宋_GB2312"/>
                <w:b w:val="0"/>
                <w:spacing w:val="0"/>
                <w:sz w:val="24"/>
                <w:szCs w:val="24"/>
              </w:rPr>
            </w:pPr>
            <w:r>
              <w:rPr>
                <w:rFonts w:hint="eastAsia" w:ascii="仿宋_GB2312" w:hAnsi="仿宋_GB2312" w:eastAsia="仿宋_GB2312" w:cs="仿宋_GB2312"/>
                <w:b w:val="0"/>
                <w:spacing w:val="0"/>
                <w:sz w:val="24"/>
                <w:szCs w:val="24"/>
              </w:rPr>
              <w:t>5.保底：（1）核定荷载量30吨以上（含）危废货运车，因比选人原因，运载货物不足25吨的，按25吨结算；（2）运距少于50公里，按照50公里结算（漳州古雷港经济开发区及周边区域范围内，设置保底运输结算价为900元/车）；</w:t>
            </w:r>
          </w:p>
          <w:p w14:paraId="6EDABDB1">
            <w:pPr>
              <w:pStyle w:val="2"/>
              <w:spacing w:line="500" w:lineRule="exact"/>
              <w:rPr>
                <w:rFonts w:hint="eastAsia" w:ascii="仿宋_GB2312" w:hAnsi="仿宋_GB2312" w:eastAsia="仿宋_GB2312" w:cs="仿宋_GB2312"/>
                <w:bCs/>
                <w:kern w:val="0"/>
                <w:sz w:val="24"/>
                <w:szCs w:val="24"/>
              </w:rPr>
            </w:pPr>
            <w:r>
              <w:rPr>
                <w:rFonts w:hint="eastAsia" w:ascii="仿宋_GB2312" w:hAnsi="仿宋_GB2312" w:eastAsia="仿宋_GB2312" w:cs="仿宋_GB2312"/>
                <w:b w:val="0"/>
                <w:spacing w:val="0"/>
                <w:sz w:val="24"/>
                <w:szCs w:val="24"/>
              </w:rPr>
              <w:t>6.以上运输距离根据百度地图货车模式高速优先导航最短运距确定。</w:t>
            </w:r>
          </w:p>
        </w:tc>
      </w:tr>
    </w:tbl>
    <w:p w14:paraId="5F67C2CB">
      <w:pPr>
        <w:pStyle w:val="205"/>
        <w:spacing w:line="500" w:lineRule="exact"/>
        <w:ind w:firstLine="480" w:firstLineChars="20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未免歧义，举例：中选价格为100-250KM（含）0.58元/吨·公里，则其他运距的结算价格为：</w:t>
      </w:r>
    </w:p>
    <w:p w14:paraId="007A320F">
      <w:pPr>
        <w:pStyle w:val="205"/>
        <w:spacing w:line="500" w:lineRule="exact"/>
        <w:ind w:left="420" w:firstLine="42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50-100KM（含）0.696元/吨·公里，</w:t>
      </w:r>
    </w:p>
    <w:p w14:paraId="49B84C4A">
      <w:pPr>
        <w:pStyle w:val="205"/>
        <w:spacing w:line="500" w:lineRule="exact"/>
        <w:ind w:left="420" w:firstLine="42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100-250KM（含）0.58元/吨·公里</w:t>
      </w:r>
    </w:p>
    <w:p w14:paraId="05635139">
      <w:pPr>
        <w:pStyle w:val="205"/>
        <w:spacing w:line="500" w:lineRule="exact"/>
        <w:ind w:left="420" w:firstLine="42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250-400KM（含）0.522元/吨·公里</w:t>
      </w:r>
    </w:p>
    <w:p w14:paraId="61A327F6">
      <w:pPr>
        <w:pStyle w:val="205"/>
        <w:spacing w:line="500" w:lineRule="exact"/>
        <w:ind w:left="420" w:firstLine="42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400KM（含）以上0.464元/吨·公里</w:t>
      </w:r>
    </w:p>
    <w:p w14:paraId="6C36E423">
      <w:pPr>
        <w:pStyle w:val="205"/>
        <w:spacing w:beforeLines="25" w:line="400" w:lineRule="exact"/>
        <w:ind w:firstLine="482"/>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六、其他要求</w:t>
      </w:r>
    </w:p>
    <w:p w14:paraId="0397A7B9">
      <w:pPr>
        <w:pStyle w:val="246"/>
        <w:spacing w:beforeLines="0" w:afterLines="0" w:line="500" w:lineRule="exact"/>
        <w:ind w:firstLine="480"/>
        <w:rPr>
          <w:rFonts w:hint="eastAsia" w:ascii="仿宋_GB2312" w:hAnsi="仿宋_GB2312" w:eastAsia="仿宋_GB2312" w:cs="仿宋_GB2312"/>
          <w:bCs w:val="0"/>
          <w:sz w:val="24"/>
          <w:szCs w:val="24"/>
        </w:rPr>
      </w:pPr>
      <w:r>
        <w:rPr>
          <w:rFonts w:hint="eastAsia" w:ascii="仿宋_GB2312" w:hAnsi="仿宋_GB2312" w:eastAsia="仿宋_GB2312" w:cs="仿宋_GB2312"/>
          <w:bCs w:val="0"/>
          <w:sz w:val="24"/>
          <w:szCs w:val="24"/>
        </w:rPr>
        <w:t>1、参选人须承诺，同意根据比选文件第五章的“评比规则”确定的经评审的最低价作为中选价，并接受中选价作为合同的结算价格的基准价。</w:t>
      </w:r>
    </w:p>
    <w:p w14:paraId="302BDA49">
      <w:pPr>
        <w:pStyle w:val="246"/>
        <w:spacing w:beforeLines="0" w:afterLines="0" w:line="500" w:lineRule="exact"/>
        <w:ind w:firstLine="480"/>
        <w:rPr>
          <w:rFonts w:hint="eastAsia" w:ascii="仿宋_GB2312" w:hAnsi="仿宋_GB2312" w:eastAsia="仿宋_GB2312" w:cs="仿宋_GB2312"/>
          <w:bCs w:val="0"/>
          <w:sz w:val="24"/>
          <w:szCs w:val="24"/>
        </w:rPr>
      </w:pPr>
      <w:r>
        <w:rPr>
          <w:rFonts w:hint="eastAsia" w:ascii="仿宋_GB2312" w:hAnsi="仿宋_GB2312" w:eastAsia="仿宋_GB2312" w:cs="仿宋_GB2312"/>
          <w:bCs w:val="0"/>
          <w:sz w:val="24"/>
          <w:szCs w:val="24"/>
        </w:rPr>
        <w:t>2、100-250KM（含）运距的基准价最高限价为0.58元/吨·公里，超过限价报价无效。</w:t>
      </w:r>
    </w:p>
    <w:p w14:paraId="0026CA0F">
      <w:pPr>
        <w:pStyle w:val="246"/>
        <w:spacing w:beforeLines="0" w:afterLines="0" w:line="500" w:lineRule="exact"/>
        <w:ind w:firstLine="0" w:firstLineChars="0"/>
        <w:rPr>
          <w:rFonts w:hint="eastAsia" w:ascii="仿宋_GB2312" w:hAnsi="仿宋_GB2312" w:eastAsia="仿宋_GB2312" w:cs="仿宋_GB2312"/>
          <w:bCs w:val="0"/>
          <w:sz w:val="24"/>
          <w:szCs w:val="24"/>
        </w:rPr>
      </w:pPr>
      <w:r>
        <w:rPr>
          <w:rFonts w:hint="eastAsia" w:ascii="仿宋_GB2312" w:hAnsi="仿宋_GB2312" w:eastAsia="仿宋_GB2312" w:cs="仿宋_GB2312"/>
          <w:bCs w:val="0"/>
          <w:sz w:val="24"/>
          <w:szCs w:val="24"/>
        </w:rPr>
        <w:t xml:space="preserve">    3、</w:t>
      </w:r>
      <w:r>
        <w:rPr>
          <w:rFonts w:hint="eastAsia" w:ascii="仿宋_GB2312" w:hAnsi="仿宋_GB2312" w:eastAsia="仿宋_GB2312" w:cs="仿宋_GB2312"/>
          <w:sz w:val="24"/>
          <w:szCs w:val="24"/>
        </w:rPr>
        <w:t>中选人应提供</w:t>
      </w:r>
      <w:r>
        <w:rPr>
          <w:rFonts w:hint="eastAsia" w:ascii="仿宋_GB2312" w:hAnsi="仿宋_GB2312" w:eastAsia="仿宋_GB2312" w:cs="仿宋_GB2312"/>
          <w:bCs w:val="0"/>
          <w:sz w:val="24"/>
          <w:szCs w:val="24"/>
        </w:rPr>
        <w:t>拼车运输服务，拼车运输结算如下：</w:t>
      </w:r>
    </w:p>
    <w:p w14:paraId="75D34AAE">
      <w:pPr>
        <w:pStyle w:val="246"/>
        <w:spacing w:beforeLines="0" w:afterLines="0" w:line="500" w:lineRule="exact"/>
        <w:ind w:firstLine="480"/>
        <w:rPr>
          <w:rFonts w:hint="eastAsia" w:ascii="仿宋_GB2312" w:hAnsi="仿宋_GB2312" w:eastAsia="仿宋_GB2312" w:cs="仿宋_GB2312"/>
          <w:bCs w:val="0"/>
          <w:sz w:val="24"/>
          <w:szCs w:val="24"/>
        </w:rPr>
      </w:pPr>
      <w:r>
        <w:rPr>
          <w:rFonts w:hint="eastAsia" w:ascii="仿宋_GB2312" w:hAnsi="仿宋_GB2312" w:eastAsia="仿宋_GB2312" w:cs="仿宋_GB2312"/>
          <w:bCs w:val="0"/>
          <w:sz w:val="24"/>
          <w:szCs w:val="24"/>
        </w:rPr>
        <w:t>①漳州古雷港经济开发区及周边区域（或与第一个转运点距离50公里范围内）的结算方式：每增加1个收运点增加运输费200元；</w:t>
      </w:r>
    </w:p>
    <w:p w14:paraId="248A4A90">
      <w:pPr>
        <w:pStyle w:val="246"/>
        <w:spacing w:beforeLines="0" w:afterLines="0" w:line="500" w:lineRule="exact"/>
        <w:ind w:firstLine="480"/>
        <w:rPr>
          <w:rFonts w:hint="eastAsia" w:ascii="仿宋_GB2312" w:hAnsi="仿宋_GB2312" w:eastAsia="仿宋_GB2312" w:cs="仿宋_GB2312"/>
          <w:bCs w:val="0"/>
          <w:sz w:val="24"/>
          <w:szCs w:val="24"/>
        </w:rPr>
      </w:pPr>
      <w:r>
        <w:rPr>
          <w:rFonts w:hint="eastAsia" w:ascii="仿宋_GB2312" w:hAnsi="仿宋_GB2312" w:eastAsia="仿宋_GB2312" w:cs="仿宋_GB2312"/>
          <w:bCs w:val="0"/>
          <w:sz w:val="24"/>
          <w:szCs w:val="24"/>
        </w:rPr>
        <w:t>②拼车收运点，超过第一个收运点50公里的结算方式：分段结算，结算运距从第一个收运点（A点）起始计算，按拼车转运点累加。转运量未达到25吨的按25吨结算，若在下一个拼车点（B点）收运量超过25吨后，从B点开始按实际转运量结算，以此类推；</w:t>
      </w:r>
    </w:p>
    <w:p w14:paraId="7A16022D">
      <w:pPr>
        <w:pStyle w:val="246"/>
        <w:spacing w:beforeLines="0" w:afterLines="0" w:line="500" w:lineRule="exact"/>
        <w:ind w:firstLine="480"/>
        <w:rPr>
          <w:rFonts w:hint="eastAsia" w:ascii="仿宋_GB2312" w:hAnsi="仿宋_GB2312" w:eastAsia="仿宋_GB2312" w:cs="仿宋_GB2312"/>
          <w:bCs w:val="0"/>
          <w:sz w:val="24"/>
          <w:szCs w:val="24"/>
        </w:rPr>
      </w:pPr>
      <w:r>
        <w:rPr>
          <w:rFonts w:hint="eastAsia" w:ascii="仿宋_GB2312" w:hAnsi="仿宋_GB2312" w:eastAsia="仿宋_GB2312" w:cs="仿宋_GB2312"/>
          <w:bCs w:val="0"/>
          <w:sz w:val="24"/>
          <w:szCs w:val="24"/>
        </w:rPr>
        <w:t>③吨﹒公里单价按累计公里数套档。</w:t>
      </w:r>
    </w:p>
    <w:p w14:paraId="049B68A2">
      <w:pPr>
        <w:pStyle w:val="246"/>
        <w:spacing w:beforeLines="0" w:afterLines="0" w:line="500" w:lineRule="exact"/>
        <w:ind w:firstLine="0" w:firstLineChars="0"/>
        <w:rPr>
          <w:rFonts w:hint="eastAsia" w:ascii="仿宋_GB2312" w:hAnsi="仿宋_GB2312" w:eastAsia="仿宋_GB2312" w:cs="仿宋_GB2312"/>
          <w:bCs w:val="0"/>
          <w:sz w:val="24"/>
          <w:szCs w:val="24"/>
        </w:rPr>
      </w:pPr>
      <w:r>
        <w:rPr>
          <w:rFonts w:hint="eastAsia" w:ascii="仿宋_GB2312" w:hAnsi="仿宋_GB2312" w:eastAsia="仿宋_GB2312" w:cs="仿宋_GB2312"/>
          <w:bCs w:val="0"/>
          <w:sz w:val="24"/>
          <w:szCs w:val="24"/>
        </w:rPr>
        <w:t xml:space="preserve">    4、提供包装等材料（不限于吨桶、托盘、吨袋等）返还服务。</w:t>
      </w:r>
    </w:p>
    <w:p w14:paraId="00EF28ED">
      <w:pPr>
        <w:pStyle w:val="205"/>
        <w:spacing w:beforeLines="25" w:line="400" w:lineRule="exact"/>
        <w:rPr>
          <w:rFonts w:hint="eastAsia" w:ascii="仿宋_GB2312" w:hAnsi="仿宋_GB2312" w:eastAsia="仿宋_GB2312" w:cs="仿宋_GB2312"/>
          <w:sz w:val="24"/>
          <w:u w:val="single"/>
        </w:rPr>
      </w:pPr>
      <w:r>
        <w:rPr>
          <w:rFonts w:hint="eastAsia" w:ascii="仿宋_GB2312" w:hAnsi="仿宋_GB2312" w:eastAsia="仿宋_GB2312" w:cs="仿宋_GB2312"/>
          <w:bCs/>
          <w:sz w:val="24"/>
          <w:szCs w:val="24"/>
        </w:rPr>
        <w:t>中选人应</w:t>
      </w:r>
      <w:r>
        <w:rPr>
          <w:rFonts w:hint="eastAsia" w:ascii="仿宋_GB2312" w:hAnsi="仿宋_GB2312" w:eastAsia="仿宋_GB2312" w:cs="仿宋_GB2312"/>
          <w:sz w:val="24"/>
          <w:szCs w:val="24"/>
        </w:rPr>
        <w:t>合理安排</w:t>
      </w:r>
      <w:r>
        <w:rPr>
          <w:rFonts w:hint="eastAsia" w:ascii="仿宋_GB2312" w:hAnsi="仿宋_GB2312" w:eastAsia="仿宋_GB2312" w:cs="仿宋_GB2312"/>
          <w:bCs/>
          <w:sz w:val="24"/>
          <w:szCs w:val="24"/>
        </w:rPr>
        <w:t>免费将包装等材料</w:t>
      </w:r>
      <w:r>
        <w:rPr>
          <w:rFonts w:hint="eastAsia" w:ascii="仿宋_GB2312" w:hAnsi="仿宋_GB2312" w:eastAsia="仿宋_GB2312" w:cs="仿宋_GB2312"/>
          <w:sz w:val="24"/>
          <w:szCs w:val="24"/>
        </w:rPr>
        <w:t>（不限于吨桶、托盘、吨袋等）</w:t>
      </w:r>
      <w:r>
        <w:rPr>
          <w:rFonts w:hint="eastAsia" w:ascii="仿宋_GB2312" w:hAnsi="仿宋_GB2312" w:eastAsia="仿宋_GB2312" w:cs="仿宋_GB2312"/>
          <w:bCs/>
          <w:sz w:val="24"/>
          <w:szCs w:val="24"/>
        </w:rPr>
        <w:t>返还给产废企业。</w:t>
      </w:r>
      <w:r>
        <w:rPr>
          <w:rFonts w:hint="eastAsia" w:ascii="仿宋_GB2312" w:hAnsi="仿宋_GB2312" w:eastAsia="仿宋_GB2312" w:cs="仿宋_GB2312"/>
          <w:sz w:val="24"/>
          <w:szCs w:val="24"/>
        </w:rPr>
        <w:t>如比选人安排专车返还的，</w:t>
      </w:r>
      <w:r>
        <w:rPr>
          <w:rFonts w:hint="eastAsia" w:ascii="仿宋_GB2312" w:hAnsi="仿宋_GB2312" w:eastAsia="仿宋_GB2312" w:cs="仿宋_GB2312"/>
          <w:bCs/>
          <w:sz w:val="24"/>
          <w:szCs w:val="24"/>
        </w:rPr>
        <w:t>中选</w:t>
      </w:r>
      <w:r>
        <w:rPr>
          <w:rFonts w:hint="eastAsia" w:ascii="仿宋_GB2312" w:hAnsi="仿宋_GB2312" w:eastAsia="仿宋_GB2312" w:cs="仿宋_GB2312"/>
          <w:sz w:val="24"/>
          <w:szCs w:val="24"/>
        </w:rPr>
        <w:t>人按</w:t>
      </w:r>
      <w:r>
        <w:rPr>
          <w:rFonts w:hint="eastAsia" w:ascii="仿宋_GB2312" w:hAnsi="仿宋_GB2312" w:eastAsia="仿宋_GB2312" w:cs="仿宋_GB2312"/>
          <w:bCs/>
          <w:sz w:val="24"/>
          <w:szCs w:val="24"/>
        </w:rPr>
        <w:t>结算</w:t>
      </w:r>
      <w:r>
        <w:rPr>
          <w:rFonts w:hint="eastAsia" w:ascii="仿宋_GB2312" w:hAnsi="仿宋_GB2312" w:eastAsia="仿宋_GB2312" w:cs="仿宋_GB2312"/>
          <w:sz w:val="24"/>
          <w:szCs w:val="24"/>
        </w:rPr>
        <w:t>价格的70%向比选人收取费用。</w:t>
      </w:r>
      <w:r>
        <w:rPr>
          <w:rFonts w:hint="eastAsia" w:ascii="仿宋_GB2312" w:hAnsi="仿宋_GB2312" w:eastAsia="仿宋_GB2312" w:cs="仿宋_GB2312"/>
          <w:bCs/>
          <w:sz w:val="24"/>
        </w:rPr>
        <w:t>如在漳州古雷港经济开发区及周边区域范围内专车返还的按300元/车结算。</w:t>
      </w:r>
    </w:p>
    <w:p w14:paraId="280DAA15">
      <w:pPr>
        <w:pStyle w:val="246"/>
        <w:spacing w:beforeLines="0" w:afterLines="0" w:line="500" w:lineRule="exact"/>
        <w:ind w:firstLine="480"/>
        <w:rPr>
          <w:rFonts w:hint="eastAsia" w:ascii="仿宋_GB2312" w:hAnsi="仿宋_GB2312" w:eastAsia="仿宋_GB2312" w:cs="仿宋_GB2312"/>
          <w:bCs w:val="0"/>
          <w:sz w:val="24"/>
          <w:szCs w:val="24"/>
        </w:rPr>
      </w:pPr>
      <w:bookmarkStart w:id="0" w:name="_Hlk112806194"/>
      <w:r>
        <w:rPr>
          <w:rFonts w:hint="eastAsia" w:ascii="仿宋_GB2312" w:hAnsi="仿宋_GB2312" w:eastAsia="仿宋_GB2312" w:cs="仿宋_GB2312"/>
          <w:bCs w:val="0"/>
          <w:sz w:val="24"/>
          <w:szCs w:val="24"/>
        </w:rPr>
        <w:t>5</w:t>
      </w:r>
      <w:r>
        <w:rPr>
          <w:rFonts w:ascii="仿宋_GB2312" w:hAnsi="仿宋_GB2312" w:eastAsia="仿宋_GB2312" w:cs="仿宋_GB2312"/>
          <w:bCs w:val="0"/>
          <w:sz w:val="24"/>
          <w:szCs w:val="24"/>
        </w:rPr>
        <w:t>、</w:t>
      </w:r>
      <w:r>
        <w:rPr>
          <w:rFonts w:hint="eastAsia" w:ascii="仿宋_GB2312" w:hAnsi="仿宋_GB2312" w:eastAsia="仿宋_GB2312" w:cs="仿宋_GB2312"/>
          <w:bCs w:val="0"/>
          <w:sz w:val="24"/>
          <w:szCs w:val="24"/>
        </w:rPr>
        <w:t>劳务要求：参选人需根据产废企业要求，配备劳务人员做好危废打包整理工作，如需叉车配合亦需给予解决。如需劳务配合，劳务费用参照按6</w:t>
      </w:r>
      <w:r>
        <w:rPr>
          <w:rFonts w:ascii="仿宋_GB2312" w:hAnsi="仿宋_GB2312" w:eastAsia="仿宋_GB2312" w:cs="仿宋_GB2312"/>
          <w:bCs w:val="0"/>
          <w:sz w:val="24"/>
          <w:szCs w:val="24"/>
        </w:rPr>
        <w:t>00</w:t>
      </w:r>
      <w:r>
        <w:rPr>
          <w:rFonts w:hint="eastAsia" w:ascii="仿宋_GB2312" w:hAnsi="仿宋_GB2312" w:eastAsia="仿宋_GB2312" w:cs="仿宋_GB2312"/>
          <w:bCs w:val="0"/>
          <w:sz w:val="24"/>
          <w:szCs w:val="24"/>
        </w:rPr>
        <w:t>元/车次结算。（比选方有权根据实际情况对劳务费用进行调整）。</w:t>
      </w:r>
    </w:p>
    <w:bookmarkEnd w:id="0"/>
    <w:p w14:paraId="62576211">
      <w:pPr>
        <w:pStyle w:val="246"/>
        <w:spacing w:beforeLines="0" w:afterLines="0" w:line="500" w:lineRule="exact"/>
        <w:ind w:firstLine="480"/>
        <w:rPr>
          <w:rFonts w:hint="eastAsia" w:ascii="仿宋_GB2312" w:hAnsi="仿宋_GB2312" w:eastAsia="仿宋_GB2312" w:cs="仿宋_GB2312"/>
          <w:bCs w:val="0"/>
          <w:sz w:val="24"/>
          <w:szCs w:val="24"/>
        </w:rPr>
      </w:pPr>
      <w:r>
        <w:rPr>
          <w:rFonts w:hint="eastAsia" w:ascii="仿宋_GB2312" w:hAnsi="仿宋_GB2312" w:eastAsia="仿宋_GB2312" w:cs="仿宋_GB2312"/>
          <w:bCs w:val="0"/>
          <w:sz w:val="24"/>
          <w:szCs w:val="24"/>
        </w:rPr>
        <w:t>6、如需使用槽罐车，每车次补贴清洗罐体费用1500元（如不间断连续转运同类危废，按1车次计补费用）。</w:t>
      </w:r>
    </w:p>
    <w:p w14:paraId="19583125">
      <w:pPr>
        <w:spacing w:line="500" w:lineRule="exact"/>
        <w:jc w:val="center"/>
        <w:rPr>
          <w:rFonts w:hint="eastAsia" w:ascii="仿宋_GB2312" w:hAnsi="仿宋_GB2312" w:eastAsia="仿宋_GB2312" w:cs="仿宋_GB2312"/>
          <w:b/>
          <w:sz w:val="28"/>
          <w:szCs w:val="28"/>
        </w:rPr>
      </w:pPr>
      <w:r>
        <w:rPr>
          <w:rStyle w:val="41"/>
          <w:rFonts w:hint="eastAsia" w:ascii="黑体" w:hAnsi="黑体" w:cs="黑体"/>
          <w:b w:val="0"/>
          <w:kern w:val="2"/>
          <w:szCs w:val="28"/>
        </w:rPr>
        <w:t>第四章</w:t>
      </w:r>
      <w:r>
        <w:rPr>
          <w:rStyle w:val="41"/>
          <w:rFonts w:hint="eastAsia" w:ascii="黑体" w:hAnsi="黑体" w:cs="黑体"/>
          <w:b w:val="0"/>
          <w:kern w:val="2"/>
          <w:szCs w:val="28"/>
        </w:rPr>
        <w:tab/>
      </w:r>
      <w:r>
        <w:rPr>
          <w:rStyle w:val="41"/>
          <w:rFonts w:hint="eastAsia" w:ascii="黑体" w:hAnsi="黑体" w:cs="黑体"/>
          <w:b w:val="0"/>
          <w:kern w:val="2"/>
          <w:szCs w:val="28"/>
        </w:rPr>
        <w:t>参选文件编制</w:t>
      </w:r>
    </w:p>
    <w:p w14:paraId="05A720B4">
      <w:pPr>
        <w:pStyle w:val="205"/>
        <w:spacing w:beforeLines="25" w:line="400" w:lineRule="exact"/>
        <w:ind w:firstLine="482"/>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w:t>
      </w:r>
      <w:r>
        <w:rPr>
          <w:rFonts w:hint="eastAsia" w:ascii="仿宋_GB2312" w:hAnsi="仿宋_GB2312" w:eastAsia="仿宋_GB2312" w:cs="仿宋_GB2312"/>
          <w:b/>
          <w:bCs/>
          <w:sz w:val="24"/>
          <w:szCs w:val="24"/>
          <w:highlight w:val="none"/>
        </w:rPr>
        <w:t>参选人的参选文件</w:t>
      </w:r>
      <w:r>
        <w:rPr>
          <w:rFonts w:hint="eastAsia" w:ascii="仿宋_GB2312" w:hAnsi="仿宋_GB2312" w:eastAsia="仿宋_GB2312" w:cs="仿宋_GB2312"/>
          <w:b/>
          <w:bCs/>
          <w:sz w:val="24"/>
          <w:szCs w:val="24"/>
        </w:rPr>
        <w:t>应包括下列内容（但不限于）：</w:t>
      </w:r>
    </w:p>
    <w:p w14:paraId="6037ECD6">
      <w:pPr>
        <w:pStyle w:val="246"/>
        <w:spacing w:beforeLines="0" w:afterLines="0" w:line="500" w:lineRule="exact"/>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1、提供现行有效的营业执照复印件；</w:t>
      </w:r>
    </w:p>
    <w:p w14:paraId="19685495">
      <w:pPr>
        <w:pStyle w:val="246"/>
        <w:spacing w:beforeLines="0" w:afterLines="0" w:line="500" w:lineRule="exact"/>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2、提供现行有效的危险货物运输经营许可证；</w:t>
      </w:r>
    </w:p>
    <w:p w14:paraId="1A1719B0">
      <w:pPr>
        <w:pStyle w:val="246"/>
        <w:spacing w:beforeLines="0" w:afterLines="0" w:line="500" w:lineRule="exact"/>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3、运输车辆的许可证、执照，专业的技术人员资格证；</w:t>
      </w:r>
    </w:p>
    <w:p w14:paraId="405DD9A0">
      <w:pPr>
        <w:pStyle w:val="246"/>
        <w:spacing w:beforeLines="0" w:afterLines="0" w:line="500" w:lineRule="exact"/>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4、法定代表人委托书及委托代理人身份证复印件及授权委托书；</w:t>
      </w:r>
    </w:p>
    <w:p w14:paraId="1855B5ED">
      <w:pPr>
        <w:pStyle w:val="246"/>
        <w:spacing w:beforeLines="0" w:afterLines="0" w:line="500" w:lineRule="exact"/>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5、按照比选人提供的报价表格式报价；</w:t>
      </w:r>
    </w:p>
    <w:p w14:paraId="4AF081A4">
      <w:pPr>
        <w:pStyle w:val="246"/>
        <w:spacing w:beforeLines="0" w:afterLines="0" w:line="500" w:lineRule="exact"/>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6、按照比选人提供的承诺函；</w:t>
      </w:r>
    </w:p>
    <w:p w14:paraId="1C65B695">
      <w:pPr>
        <w:pStyle w:val="246"/>
        <w:spacing w:beforeLines="0" w:afterLines="0" w:line="500" w:lineRule="exact"/>
        <w:ind w:firstLine="48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7、退还保证金声明函</w:t>
      </w:r>
      <w:r>
        <w:rPr>
          <w:rFonts w:hint="eastAsia" w:ascii="仿宋_GB2312" w:hAnsi="仿宋_GB2312" w:eastAsia="仿宋_GB2312" w:cs="仿宋_GB2312"/>
          <w:sz w:val="24"/>
          <w:szCs w:val="24"/>
          <w:lang w:eastAsia="zh-CN"/>
        </w:rPr>
        <w:t>；</w:t>
      </w:r>
    </w:p>
    <w:p w14:paraId="18FC87BC">
      <w:pPr>
        <w:pStyle w:val="246"/>
        <w:spacing w:beforeLines="0" w:afterLines="0" w:line="500" w:lineRule="exact"/>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8、以上1-7项应合并为一份完整的材料，提供正本1份，每页均需加盖公章。全部参选资料可统一密封后，封面上应注明项目名称、参选人单位名称并加盖公章。</w:t>
      </w:r>
    </w:p>
    <w:p w14:paraId="7D3B9970">
      <w:pPr>
        <w:pStyle w:val="205"/>
        <w:spacing w:beforeLines="25" w:line="400" w:lineRule="exact"/>
        <w:ind w:firstLine="482"/>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二、参选文件的编写要求</w:t>
      </w:r>
    </w:p>
    <w:p w14:paraId="6E353B99">
      <w:pPr>
        <w:pStyle w:val="246"/>
        <w:spacing w:beforeLines="0" w:afterLines="0" w:line="500" w:lineRule="exact"/>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1、参选人应按规定，向比选人递交参选文件。</w:t>
      </w:r>
    </w:p>
    <w:p w14:paraId="36CACA40">
      <w:pPr>
        <w:pStyle w:val="246"/>
        <w:spacing w:beforeLines="0" w:afterLines="0" w:line="500" w:lineRule="exact"/>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2、参选文件需采用A4纸打印或用不褪色墨水书写，由参选人的法定代表人或其授权的代理人按规定手签，不得用签名章代替。</w:t>
      </w:r>
    </w:p>
    <w:p w14:paraId="47D5ED93">
      <w:pPr>
        <w:pStyle w:val="246"/>
        <w:spacing w:beforeLines="0" w:afterLines="0" w:line="500" w:lineRule="exact"/>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3、参选文件的任何一页都不应涂改，不应有行间插字或删除。如果出现上述情况，不论何种原因造成，均由参选文件签字人在改动处签字或盖法人章。</w:t>
      </w:r>
    </w:p>
    <w:p w14:paraId="12D8BE23">
      <w:pPr>
        <w:pStyle w:val="246"/>
        <w:spacing w:beforeLines="0" w:afterLines="0" w:line="500" w:lineRule="exact"/>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4、参选文件应按要求分别装订成册，不得采用活页夹，</w:t>
      </w:r>
      <w:r>
        <w:rPr>
          <w:rFonts w:hint="eastAsia" w:ascii="仿宋_GB2312" w:hAnsi="仿宋_GB2312" w:eastAsia="仿宋_GB2312" w:cs="仿宋_GB2312"/>
          <w:b/>
          <w:bCs w:val="0"/>
          <w:sz w:val="24"/>
          <w:szCs w:val="24"/>
          <w:u w:val="single"/>
        </w:rPr>
        <w:t>必须胶装，否则为无效参选文件。</w:t>
      </w:r>
      <w:r>
        <w:rPr>
          <w:rFonts w:hint="eastAsia" w:ascii="仿宋_GB2312" w:hAnsi="仿宋_GB2312" w:eastAsia="仿宋_GB2312" w:cs="仿宋_GB2312"/>
          <w:sz w:val="24"/>
          <w:szCs w:val="24"/>
        </w:rPr>
        <w:t>参选文件应编制目录，并且逐页标注连续页码。</w:t>
      </w:r>
    </w:p>
    <w:p w14:paraId="2ECA0A14">
      <w:pPr>
        <w:pStyle w:val="246"/>
        <w:spacing w:beforeLines="0" w:afterLines="0" w:line="500" w:lineRule="exact"/>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5、参选文件属以下情况的将被视为无效参选文件：</w:t>
      </w:r>
    </w:p>
    <w:p w14:paraId="5A0F010A">
      <w:pPr>
        <w:pStyle w:val="246"/>
        <w:spacing w:beforeLines="0" w:afterLines="0" w:line="500" w:lineRule="exact"/>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（1）未按比选文件要求提供有效资格证明材料的；</w:t>
      </w:r>
    </w:p>
    <w:p w14:paraId="7010000E">
      <w:pPr>
        <w:pStyle w:val="246"/>
        <w:spacing w:beforeLines="0" w:afterLines="0" w:line="500" w:lineRule="exact"/>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（2）未按比选文件要求报价的；</w:t>
      </w:r>
    </w:p>
    <w:p w14:paraId="0FF6E69D">
      <w:pPr>
        <w:pStyle w:val="246"/>
        <w:spacing w:beforeLines="0" w:afterLines="0" w:line="500" w:lineRule="exact"/>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（3）未按比选文件要求签字、盖章的；</w:t>
      </w:r>
    </w:p>
    <w:p w14:paraId="1C3F0B2A">
      <w:pPr>
        <w:pStyle w:val="246"/>
        <w:spacing w:beforeLines="0" w:afterLines="0" w:line="500" w:lineRule="exact"/>
        <w:ind w:firstLine="48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（4）未按比选文件的编写要求编写的</w:t>
      </w:r>
      <w:r>
        <w:rPr>
          <w:rFonts w:hint="eastAsia" w:ascii="仿宋_GB2312" w:hAnsi="仿宋_GB2312" w:eastAsia="仿宋_GB2312" w:cs="仿宋_GB2312"/>
          <w:sz w:val="24"/>
          <w:szCs w:val="24"/>
          <w:lang w:eastAsia="zh-CN"/>
        </w:rPr>
        <w:t>；</w:t>
      </w:r>
    </w:p>
    <w:p w14:paraId="78801E01">
      <w:pPr>
        <w:pStyle w:val="246"/>
        <w:spacing w:beforeLines="0" w:afterLines="0" w:line="500" w:lineRule="exact"/>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未提交参选保证金的</w:t>
      </w:r>
      <w:r>
        <w:rPr>
          <w:rFonts w:hint="eastAsia" w:ascii="仿宋_GB2312" w:hAnsi="仿宋_GB2312" w:eastAsia="仿宋_GB2312" w:cs="仿宋_GB2312"/>
          <w:sz w:val="24"/>
          <w:szCs w:val="24"/>
        </w:rPr>
        <w:t>。</w:t>
      </w:r>
    </w:p>
    <w:p w14:paraId="15274508">
      <w:pPr>
        <w:pStyle w:val="205"/>
        <w:spacing w:beforeLines="25" w:line="400" w:lineRule="exact"/>
        <w:ind w:firstLine="482"/>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三、参选文件请参照范本编制（详见附件2）</w:t>
      </w:r>
    </w:p>
    <w:p w14:paraId="61797A44">
      <w:pPr>
        <w:spacing w:line="5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br w:type="page"/>
      </w:r>
      <w:r>
        <w:rPr>
          <w:rStyle w:val="41"/>
          <w:rFonts w:hint="eastAsia" w:ascii="黑体" w:hAnsi="黑体" w:cs="黑体"/>
          <w:b w:val="0"/>
          <w:kern w:val="2"/>
          <w:szCs w:val="28"/>
        </w:rPr>
        <w:t>第五章</w:t>
      </w:r>
      <w:r>
        <w:rPr>
          <w:rStyle w:val="41"/>
          <w:rFonts w:hint="eastAsia" w:ascii="黑体" w:hAnsi="黑体" w:cs="黑体"/>
          <w:b w:val="0"/>
          <w:kern w:val="2"/>
          <w:szCs w:val="28"/>
        </w:rPr>
        <w:tab/>
      </w:r>
      <w:r>
        <w:rPr>
          <w:rStyle w:val="41"/>
          <w:rFonts w:hint="eastAsia" w:ascii="黑体" w:hAnsi="黑体" w:cs="黑体"/>
          <w:b w:val="0"/>
          <w:kern w:val="2"/>
          <w:szCs w:val="28"/>
        </w:rPr>
        <w:t>评比规则</w:t>
      </w:r>
    </w:p>
    <w:p w14:paraId="49D59243">
      <w:pPr>
        <w:numPr>
          <w:ilvl w:val="0"/>
          <w:numId w:val="1"/>
        </w:numPr>
        <w:spacing w:line="500" w:lineRule="exact"/>
        <w:ind w:firstLine="602" w:firstLineChars="250"/>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评选方法</w:t>
      </w:r>
    </w:p>
    <w:p w14:paraId="7C69BCA9">
      <w:pPr>
        <w:pStyle w:val="246"/>
        <w:numPr>
          <w:ilvl w:val="0"/>
          <w:numId w:val="2"/>
        </w:numPr>
        <w:spacing w:beforeLines="0" w:afterLines="0" w:line="500" w:lineRule="exact"/>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确定合格参选人：招标及自主比选小组，根据比选文件第二章确定的参选人资格对所有参选人进行评审，符合参选条件，并根据参选文件要求提交所有资料，并规范胶装及密封的，为合格参选人。</w:t>
      </w:r>
    </w:p>
    <w:p w14:paraId="69333C32">
      <w:pPr>
        <w:pStyle w:val="246"/>
        <w:numPr>
          <w:ilvl w:val="0"/>
          <w:numId w:val="2"/>
        </w:numPr>
        <w:spacing w:beforeLines="0" w:afterLines="0" w:line="500" w:lineRule="exact"/>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确定中选价格：合格参选人中，最低报价为中选价格。所有中选人均执行中选价格。</w:t>
      </w:r>
    </w:p>
    <w:p w14:paraId="6105744E">
      <w:pPr>
        <w:pStyle w:val="246"/>
        <w:numPr>
          <w:ilvl w:val="0"/>
          <w:numId w:val="2"/>
        </w:numPr>
        <w:spacing w:beforeLines="0" w:afterLines="0" w:line="500" w:lineRule="exact"/>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中选人的人数：本次比选，确定2名中选人。当合格参选人超过4名，增加1名中选人，即确定3名中选人。</w:t>
      </w:r>
    </w:p>
    <w:p w14:paraId="600B7C2F">
      <w:pPr>
        <w:pStyle w:val="246"/>
        <w:numPr>
          <w:ilvl w:val="0"/>
          <w:numId w:val="2"/>
        </w:numPr>
        <w:spacing w:beforeLines="0" w:afterLines="0" w:line="500" w:lineRule="exact"/>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确定中选人：按照合格参选人的报价从低至高排序，确定2名中选人或3名中选人。</w:t>
      </w:r>
    </w:p>
    <w:p w14:paraId="0BD67601">
      <w:pPr>
        <w:pStyle w:val="246"/>
        <w:spacing w:beforeLines="0" w:afterLines="0"/>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5、比选人将根据各中选人的车辆情况和服务评价情况，统筹安排运输。原则上排序在前的中选人优先安排运输服务。</w:t>
      </w:r>
    </w:p>
    <w:p w14:paraId="349AAD88">
      <w:pPr>
        <w:pStyle w:val="246"/>
        <w:spacing w:beforeLines="0" w:afterLines="0"/>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不合理低价排除：招标及自主比选小组认为参选人的报价明显低于其他通过符合性审查参选人的报价，有可能影响产品质量或者不能诚信履约的，应当要求其在评选现场合理的时间内提供书面说明，必要时提交相关证明材料；参选人不能证明其报价合理性的，比选小组应当将其作为无效参选处理。</w:t>
      </w:r>
    </w:p>
    <w:p w14:paraId="78ABBF4D">
      <w:pPr>
        <w:pStyle w:val="246"/>
        <w:spacing w:beforeLines="0" w:afterLines="0"/>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在合同签订前，比选人发现中选人的参选报价或服务存在重大偏离，或参选文件存在欺诈行为时，或中选人因为不可抗力或者其自身原因不能履行合同的，比选人有资格取消中选人资格，并将依法将顺位候选中选人确定为本项目的中选人，或者重新组织比选。</w:t>
      </w:r>
    </w:p>
    <w:p w14:paraId="197B7A07">
      <w:pPr>
        <w:numPr>
          <w:ilvl w:val="0"/>
          <w:numId w:val="1"/>
        </w:numPr>
        <w:ind w:firstLine="602" w:firstLineChars="250"/>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以下情况按废选处理</w:t>
      </w:r>
    </w:p>
    <w:p w14:paraId="25402102">
      <w:pPr>
        <w:pStyle w:val="246"/>
        <w:spacing w:beforeLines="0" w:afterLines="0"/>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1、对比选文件提出的实质性要求和条件，参选文件未能在实质上相应的；</w:t>
      </w:r>
    </w:p>
    <w:p w14:paraId="0E580487">
      <w:pPr>
        <w:pStyle w:val="246"/>
        <w:spacing w:beforeLines="0" w:afterLines="0"/>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2、未按照比选文件的格式要求编制参选文件的，或未对参选文件密封且加盖公章的；</w:t>
      </w:r>
    </w:p>
    <w:p w14:paraId="7CE464CE">
      <w:pPr>
        <w:pStyle w:val="246"/>
        <w:spacing w:beforeLines="0" w:afterLines="0"/>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3、参选人违反规定影响开选、比选工作或者采取其他方式对比选人施加影响，以及其他违背公平竞争的行为；</w:t>
      </w:r>
    </w:p>
    <w:p w14:paraId="04127B5C">
      <w:pPr>
        <w:pStyle w:val="246"/>
        <w:spacing w:beforeLines="0" w:afterLines="0"/>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4、参选人提供的资质、车辆及人员资格证书等存在过期的；</w:t>
      </w:r>
    </w:p>
    <w:p w14:paraId="52F2817F">
      <w:pPr>
        <w:pStyle w:val="246"/>
        <w:spacing w:beforeLines="0" w:afterLines="0"/>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5、超过最高限价（0.58元/吨·公里）的。报价不得超过小数点后两位（如报价存在三位小数点则视为无效)；</w:t>
      </w:r>
    </w:p>
    <w:p w14:paraId="55BE698A">
      <w:pPr>
        <w:pStyle w:val="246"/>
        <w:spacing w:beforeLines="0" w:afterLines="0"/>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6、未提交参选保证金的。</w:t>
      </w:r>
    </w:p>
    <w:p w14:paraId="45597FB0">
      <w:pPr>
        <w:numPr>
          <w:ilvl w:val="0"/>
          <w:numId w:val="1"/>
        </w:numPr>
        <w:ind w:firstLine="602" w:firstLineChars="250"/>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以下情况应当重新比选</w:t>
      </w:r>
    </w:p>
    <w:p w14:paraId="1F53ECB8">
      <w:pPr>
        <w:pStyle w:val="246"/>
        <w:spacing w:beforeLines="0" w:afterLines="0"/>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1、资格审查合格的潜在参选人不足3个的；</w:t>
      </w:r>
    </w:p>
    <w:p w14:paraId="4BDDA775">
      <w:pPr>
        <w:pStyle w:val="246"/>
        <w:spacing w:beforeLines="0" w:afterLines="0"/>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2、在比选截止时间届满时提交参选文件的参选人少于3个的；</w:t>
      </w:r>
    </w:p>
    <w:p w14:paraId="7DF8FA5B">
      <w:pPr>
        <w:pStyle w:val="246"/>
        <w:spacing w:beforeLines="0" w:afterLines="0"/>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3、所在参选均被作为废选处理的；</w:t>
      </w:r>
    </w:p>
    <w:p w14:paraId="15AD49CC">
      <w:pPr>
        <w:pStyle w:val="246"/>
        <w:spacing w:beforeLines="0" w:afterLines="0"/>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4、经评审，有效参选不足3个使得参选明显缺乏竞争，且评选委员会决定否决所有参选的。</w:t>
      </w:r>
    </w:p>
    <w:p w14:paraId="4F14515E">
      <w:pPr>
        <w:numPr>
          <w:ilvl w:val="0"/>
          <w:numId w:val="1"/>
        </w:numPr>
        <w:ind w:firstLine="602" w:firstLineChars="250"/>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评选</w:t>
      </w:r>
    </w:p>
    <w:p w14:paraId="2429FA44">
      <w:pPr>
        <w:pStyle w:val="246"/>
        <w:spacing w:beforeLines="0" w:afterLines="0"/>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比选人将在参选文件截止日期后一周内组织评选。</w:t>
      </w:r>
    </w:p>
    <w:p w14:paraId="09E539FC">
      <w:pPr>
        <w:pStyle w:val="205"/>
        <w:spacing w:line="500" w:lineRule="exact"/>
        <w:ind w:firstLine="560"/>
        <w:rPr>
          <w:rFonts w:hint="eastAsia" w:ascii="仿宋_GB2312" w:hAnsi="仿宋_GB2312" w:eastAsia="仿宋_GB2312" w:cs="仿宋_GB2312"/>
          <w:sz w:val="28"/>
          <w:szCs w:val="28"/>
        </w:rPr>
      </w:pPr>
    </w:p>
    <w:p w14:paraId="2939A76F">
      <w:pPr>
        <w:pStyle w:val="205"/>
        <w:spacing w:line="500" w:lineRule="exact"/>
        <w:rPr>
          <w:rFonts w:hint="eastAsia" w:ascii="仿宋_GB2312" w:hAnsi="仿宋_GB2312" w:eastAsia="仿宋_GB2312" w:cs="仿宋_GB2312"/>
          <w:sz w:val="28"/>
          <w:szCs w:val="28"/>
        </w:rPr>
      </w:pPr>
    </w:p>
    <w:p w14:paraId="1E07877F">
      <w:pPr>
        <w:spacing w:line="5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br w:type="page"/>
      </w:r>
      <w:r>
        <w:rPr>
          <w:rStyle w:val="41"/>
          <w:rFonts w:hint="eastAsia" w:ascii="黑体" w:hAnsi="黑体" w:cs="黑体"/>
          <w:b w:val="0"/>
          <w:kern w:val="2"/>
          <w:szCs w:val="28"/>
        </w:rPr>
        <w:t>第六章</w:t>
      </w:r>
      <w:r>
        <w:rPr>
          <w:rStyle w:val="41"/>
          <w:rFonts w:hint="eastAsia" w:ascii="黑体" w:hAnsi="黑体" w:cs="黑体"/>
          <w:b w:val="0"/>
          <w:kern w:val="2"/>
          <w:szCs w:val="28"/>
        </w:rPr>
        <w:tab/>
      </w:r>
      <w:r>
        <w:rPr>
          <w:rStyle w:val="41"/>
          <w:rFonts w:hint="eastAsia" w:ascii="黑体" w:hAnsi="黑体" w:cs="黑体"/>
          <w:b w:val="0"/>
          <w:kern w:val="2"/>
          <w:szCs w:val="28"/>
        </w:rPr>
        <w:t>合同授予</w:t>
      </w:r>
    </w:p>
    <w:p w14:paraId="61610978">
      <w:pPr>
        <w:pStyle w:val="246"/>
        <w:spacing w:beforeLines="0" w:afterLines="0"/>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1、比选人将把合同授予中选人；在授予前，仍需进行资格审查，中选人需提交履约保证金。</w:t>
      </w:r>
    </w:p>
    <w:p w14:paraId="7CF446A7">
      <w:pPr>
        <w:pStyle w:val="246"/>
        <w:spacing w:beforeLines="0" w:afterLines="0"/>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2、中选人确定后，比选人将通知中选人。</w:t>
      </w:r>
    </w:p>
    <w:p w14:paraId="75699F0F">
      <w:pPr>
        <w:pStyle w:val="246"/>
        <w:spacing w:beforeLines="0" w:afterLines="0"/>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3、中选人应按照本比选文件所附合同与中选人签订《危险废物运输合同》。</w:t>
      </w:r>
    </w:p>
    <w:p w14:paraId="085EA18A">
      <w:pPr>
        <w:pStyle w:val="246"/>
        <w:spacing w:beforeLines="0" w:afterLines="0"/>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中选人签署合同后必须履行合同要求。若因中选人原因未能满足比选文件或者合同要求运输需要，则比选人有权单方面取消中选人的资格，并取消参选人三年内在比选人的业务中的参选资格，由此给比选人造成的损失，比选人有权追究中选人的全部责任。</w:t>
      </w:r>
    </w:p>
    <w:p w14:paraId="3B958F46">
      <w:pPr>
        <w:pStyle w:val="246"/>
        <w:spacing w:beforeLines="0" w:afterLines="0"/>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5、比选文件与合同附件作为签订合同的条款，比选文件合同条款中没有规定的内容比选人、参选人认为有必要进行补充的，可另行商定解决。</w:t>
      </w:r>
    </w:p>
    <w:p w14:paraId="343C5A1B">
      <w:pPr>
        <w:pStyle w:val="246"/>
        <w:spacing w:beforeLines="0" w:afterLines="0"/>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6、接受和拒绝任何或所有参选的权利:比选人保留在授予之前任何时候接受或拒绝任何比选，以及宣布比选程序无效或拒绝所有参选的权利，对受影响的参选人不承担任何责任。</w:t>
      </w:r>
    </w:p>
    <w:p w14:paraId="332490AA">
      <w:pPr>
        <w:spacing w:line="500" w:lineRule="exact"/>
        <w:rPr>
          <w:rStyle w:val="41"/>
          <w:rFonts w:hint="eastAsia" w:ascii="仿宋_GB2312" w:hAnsi="仿宋_GB2312" w:eastAsia="仿宋_GB2312" w:cs="仿宋_GB2312"/>
        </w:rPr>
      </w:pPr>
      <w:r>
        <w:rPr>
          <w:rFonts w:hint="eastAsia" w:ascii="仿宋_GB2312" w:hAnsi="仿宋_GB2312" w:eastAsia="仿宋_GB2312" w:cs="仿宋_GB2312"/>
          <w:kern w:val="0"/>
          <w:sz w:val="28"/>
          <w:szCs w:val="28"/>
        </w:rPr>
        <w:br w:type="page"/>
      </w:r>
    </w:p>
    <w:p w14:paraId="3F67A48A">
      <w:pPr>
        <w:pStyle w:val="205"/>
        <w:spacing w:line="500" w:lineRule="exact"/>
        <w:jc w:val="center"/>
        <w:rPr>
          <w:rFonts w:hint="eastAsia" w:ascii="黑体" w:hAnsi="黑体" w:eastAsia="黑体" w:cs="黑体"/>
          <w:kern w:val="2"/>
          <w:sz w:val="28"/>
          <w:szCs w:val="28"/>
        </w:rPr>
      </w:pPr>
      <w:r>
        <w:rPr>
          <w:rFonts w:hint="eastAsia" w:ascii="黑体" w:hAnsi="黑体" w:eastAsia="黑体" w:cs="黑体"/>
          <w:kern w:val="2"/>
          <w:sz w:val="28"/>
          <w:szCs w:val="28"/>
        </w:rPr>
        <w:t>第七章</w:t>
      </w:r>
      <w:r>
        <w:rPr>
          <w:rFonts w:hint="eastAsia" w:ascii="黑体" w:hAnsi="黑体" w:eastAsia="黑体" w:cs="黑体"/>
          <w:kern w:val="2"/>
          <w:sz w:val="28"/>
          <w:szCs w:val="28"/>
        </w:rPr>
        <w:tab/>
      </w:r>
      <w:r>
        <w:rPr>
          <w:rFonts w:hint="eastAsia" w:ascii="黑体" w:hAnsi="黑体" w:eastAsia="黑体" w:cs="黑体"/>
          <w:kern w:val="2"/>
          <w:sz w:val="28"/>
          <w:szCs w:val="28"/>
        </w:rPr>
        <w:t>中选后相关履约要求</w:t>
      </w:r>
    </w:p>
    <w:p w14:paraId="62F282C3">
      <w:pPr>
        <w:pStyle w:val="205"/>
        <w:spacing w:line="500" w:lineRule="exact"/>
        <w:jc w:val="center"/>
        <w:rPr>
          <w:rFonts w:hint="eastAsia" w:ascii="仿宋_GB2312" w:hAnsi="仿宋_GB2312" w:eastAsia="仿宋_GB2312" w:cs="仿宋_GB2312"/>
          <w:b/>
          <w:sz w:val="28"/>
          <w:szCs w:val="28"/>
        </w:rPr>
      </w:pPr>
    </w:p>
    <w:p w14:paraId="203CD510">
      <w:pPr>
        <w:pStyle w:val="246"/>
        <w:spacing w:beforeLines="0" w:afterLines="0"/>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1、中选人要服从比选人的管理规定，不得影响比选人的生产运行，如有违反，取消中选人的继续履行合同的资格，同时，由此给比选人造成的损失，比选人有权追究中选人的全部责任。</w:t>
      </w:r>
    </w:p>
    <w:p w14:paraId="000E6854">
      <w:pPr>
        <w:pStyle w:val="246"/>
        <w:spacing w:beforeLines="0" w:afterLines="0"/>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2、付款方式为：详见合同约定。</w:t>
      </w:r>
    </w:p>
    <w:p w14:paraId="71D38937">
      <w:pPr>
        <w:pStyle w:val="246"/>
        <w:spacing w:beforeLines="0" w:afterLines="0"/>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3、中选人需遵守比选人的各项管理规章制度，如有违反，比选人有权按规章制度的相应条款对中选人进行处罚，中选人对此无异议。</w:t>
      </w:r>
    </w:p>
    <w:p w14:paraId="540161AC">
      <w:pPr>
        <w:pStyle w:val="205"/>
        <w:spacing w:line="500" w:lineRule="exact"/>
        <w:rPr>
          <w:rFonts w:hint="eastAsia" w:ascii="仿宋_GB2312" w:hAnsi="仿宋_GB2312" w:eastAsia="仿宋_GB2312" w:cs="仿宋_GB2312"/>
          <w:sz w:val="28"/>
          <w:szCs w:val="28"/>
        </w:rPr>
      </w:pPr>
    </w:p>
    <w:p w14:paraId="5101885A">
      <w:pPr>
        <w:pStyle w:val="205"/>
        <w:spacing w:line="500" w:lineRule="exact"/>
        <w:rPr>
          <w:rFonts w:hint="eastAsia" w:ascii="仿宋_GB2312" w:hAnsi="仿宋_GB2312" w:eastAsia="仿宋_GB2312" w:cs="仿宋_GB2312"/>
          <w:sz w:val="28"/>
          <w:szCs w:val="28"/>
        </w:rPr>
      </w:pPr>
    </w:p>
    <w:p w14:paraId="5DE99505">
      <w:pPr>
        <w:pStyle w:val="205"/>
        <w:spacing w:line="500" w:lineRule="exact"/>
        <w:rPr>
          <w:rFonts w:hint="eastAsia" w:ascii="仿宋_GB2312" w:hAnsi="仿宋_GB2312" w:eastAsia="仿宋_GB2312" w:cs="仿宋_GB2312"/>
          <w:sz w:val="28"/>
          <w:szCs w:val="28"/>
        </w:rPr>
      </w:pPr>
    </w:p>
    <w:p w14:paraId="382740D1">
      <w:pPr>
        <w:pStyle w:val="205"/>
        <w:spacing w:line="500" w:lineRule="exact"/>
        <w:rPr>
          <w:rFonts w:hint="eastAsia" w:ascii="仿宋_GB2312" w:hAnsi="仿宋_GB2312" w:eastAsia="仿宋_GB2312" w:cs="仿宋_GB2312"/>
          <w:sz w:val="28"/>
          <w:szCs w:val="28"/>
        </w:rPr>
      </w:pPr>
    </w:p>
    <w:p w14:paraId="4C9200FB">
      <w:pPr>
        <w:pStyle w:val="205"/>
        <w:spacing w:line="500" w:lineRule="exact"/>
        <w:rPr>
          <w:rFonts w:hint="eastAsia" w:ascii="仿宋_GB2312" w:hAnsi="仿宋_GB2312" w:eastAsia="仿宋_GB2312" w:cs="仿宋_GB2312"/>
          <w:sz w:val="28"/>
          <w:szCs w:val="28"/>
        </w:rPr>
      </w:pPr>
    </w:p>
    <w:p w14:paraId="6A2CA042">
      <w:pPr>
        <w:pStyle w:val="205"/>
        <w:spacing w:line="500" w:lineRule="exact"/>
        <w:rPr>
          <w:rFonts w:hint="eastAsia" w:ascii="仿宋_GB2312" w:hAnsi="仿宋_GB2312" w:eastAsia="仿宋_GB2312" w:cs="仿宋_GB2312"/>
          <w:sz w:val="28"/>
          <w:szCs w:val="28"/>
        </w:rPr>
      </w:pPr>
    </w:p>
    <w:p w14:paraId="0FC4D744">
      <w:pPr>
        <w:pStyle w:val="205"/>
        <w:spacing w:line="500" w:lineRule="exact"/>
        <w:rPr>
          <w:rFonts w:hint="eastAsia" w:ascii="仿宋_GB2312" w:hAnsi="仿宋_GB2312" w:eastAsia="仿宋_GB2312" w:cs="仿宋_GB2312"/>
          <w:sz w:val="28"/>
          <w:szCs w:val="28"/>
        </w:rPr>
      </w:pPr>
    </w:p>
    <w:p w14:paraId="11F664A3">
      <w:pPr>
        <w:pStyle w:val="205"/>
        <w:spacing w:line="500" w:lineRule="exact"/>
        <w:rPr>
          <w:rFonts w:hint="eastAsia" w:ascii="仿宋_GB2312" w:hAnsi="仿宋_GB2312" w:eastAsia="仿宋_GB2312" w:cs="仿宋_GB2312"/>
          <w:sz w:val="28"/>
          <w:szCs w:val="28"/>
        </w:rPr>
      </w:pPr>
    </w:p>
    <w:p w14:paraId="21A6698C">
      <w:pPr>
        <w:pStyle w:val="205"/>
        <w:spacing w:line="500" w:lineRule="exact"/>
        <w:rPr>
          <w:rFonts w:hint="eastAsia" w:ascii="仿宋_GB2312" w:hAnsi="仿宋_GB2312" w:eastAsia="仿宋_GB2312" w:cs="仿宋_GB2312"/>
          <w:sz w:val="28"/>
          <w:szCs w:val="28"/>
        </w:rPr>
      </w:pPr>
    </w:p>
    <w:p w14:paraId="32B75B64">
      <w:pPr>
        <w:pStyle w:val="205"/>
        <w:spacing w:line="500" w:lineRule="exact"/>
        <w:rPr>
          <w:rFonts w:hint="eastAsia" w:ascii="仿宋_GB2312" w:hAnsi="仿宋_GB2312" w:eastAsia="仿宋_GB2312" w:cs="仿宋_GB2312"/>
          <w:sz w:val="28"/>
          <w:szCs w:val="28"/>
        </w:rPr>
      </w:pPr>
    </w:p>
    <w:p w14:paraId="29046459">
      <w:pPr>
        <w:pStyle w:val="205"/>
        <w:spacing w:line="500" w:lineRule="exact"/>
        <w:rPr>
          <w:rFonts w:hint="eastAsia" w:ascii="仿宋_GB2312" w:hAnsi="仿宋_GB2312" w:eastAsia="仿宋_GB2312" w:cs="仿宋_GB2312"/>
          <w:sz w:val="28"/>
          <w:szCs w:val="28"/>
        </w:rPr>
      </w:pPr>
    </w:p>
    <w:p w14:paraId="5FB7A250">
      <w:pPr>
        <w:pStyle w:val="205"/>
        <w:spacing w:line="500" w:lineRule="exact"/>
        <w:rPr>
          <w:rFonts w:hint="eastAsia" w:ascii="仿宋_GB2312" w:hAnsi="仿宋_GB2312" w:eastAsia="仿宋_GB2312" w:cs="仿宋_GB2312"/>
          <w:sz w:val="28"/>
          <w:szCs w:val="28"/>
        </w:rPr>
      </w:pPr>
    </w:p>
    <w:p w14:paraId="3965F5F4">
      <w:pPr>
        <w:pStyle w:val="205"/>
        <w:spacing w:line="500" w:lineRule="exact"/>
        <w:rPr>
          <w:rFonts w:hint="eastAsia" w:ascii="仿宋_GB2312" w:hAnsi="仿宋_GB2312" w:eastAsia="仿宋_GB2312" w:cs="仿宋_GB2312"/>
          <w:sz w:val="28"/>
          <w:szCs w:val="28"/>
        </w:rPr>
      </w:pPr>
    </w:p>
    <w:p w14:paraId="7969190F">
      <w:pPr>
        <w:pStyle w:val="205"/>
        <w:spacing w:line="500" w:lineRule="exact"/>
        <w:rPr>
          <w:rFonts w:hint="eastAsia" w:ascii="仿宋_GB2312" w:hAnsi="仿宋_GB2312" w:eastAsia="仿宋_GB2312" w:cs="仿宋_GB2312"/>
          <w:sz w:val="28"/>
          <w:szCs w:val="28"/>
        </w:rPr>
      </w:pPr>
    </w:p>
    <w:p w14:paraId="58D1BFDB">
      <w:pPr>
        <w:pStyle w:val="205"/>
        <w:spacing w:line="500" w:lineRule="exact"/>
        <w:jc w:val="center"/>
        <w:rPr>
          <w:rFonts w:hint="eastAsia" w:ascii="仿宋_GB2312" w:hAnsi="仿宋_GB2312" w:eastAsia="仿宋_GB2312" w:cs="仿宋_GB2312"/>
          <w:b/>
          <w:sz w:val="28"/>
          <w:szCs w:val="28"/>
        </w:rPr>
      </w:pPr>
      <w:r>
        <w:rPr>
          <w:rFonts w:ascii="仿宋_GB2312" w:hAnsi="仿宋_GB2312" w:eastAsia="仿宋_GB2312" w:cs="仿宋_GB2312"/>
          <w:b/>
          <w:sz w:val="28"/>
          <w:szCs w:val="28"/>
        </w:rPr>
        <w:br w:type="page"/>
      </w:r>
      <w:r>
        <w:rPr>
          <w:rFonts w:hint="eastAsia" w:ascii="黑体" w:hAnsi="黑体" w:eastAsia="黑体" w:cs="黑体"/>
          <w:kern w:val="2"/>
          <w:sz w:val="28"/>
          <w:szCs w:val="28"/>
        </w:rPr>
        <w:t>第八章</w:t>
      </w:r>
      <w:r>
        <w:rPr>
          <w:rFonts w:hint="eastAsia" w:ascii="黑体" w:hAnsi="黑体" w:eastAsia="黑体" w:cs="黑体"/>
          <w:kern w:val="2"/>
          <w:sz w:val="28"/>
          <w:szCs w:val="28"/>
        </w:rPr>
        <w:tab/>
      </w:r>
      <w:r>
        <w:rPr>
          <w:rFonts w:hint="eastAsia" w:ascii="黑体" w:hAnsi="黑体" w:eastAsia="黑体" w:cs="黑体"/>
          <w:kern w:val="2"/>
          <w:sz w:val="28"/>
          <w:szCs w:val="28"/>
        </w:rPr>
        <w:t>其它</w:t>
      </w:r>
    </w:p>
    <w:p w14:paraId="0358F21C">
      <w:pPr>
        <w:pStyle w:val="205"/>
        <w:spacing w:line="500" w:lineRule="exact"/>
        <w:jc w:val="center"/>
        <w:rPr>
          <w:rFonts w:hint="eastAsia" w:ascii="仿宋_GB2312" w:hAnsi="仿宋_GB2312" w:eastAsia="仿宋_GB2312" w:cs="仿宋_GB2312"/>
          <w:b/>
          <w:sz w:val="28"/>
          <w:szCs w:val="28"/>
        </w:rPr>
      </w:pPr>
    </w:p>
    <w:p w14:paraId="1A5E4149">
      <w:pPr>
        <w:pStyle w:val="246"/>
        <w:spacing w:beforeLines="0" w:afterLines="0"/>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1、参选人的参选文件无论其是否中选，均不退回。</w:t>
      </w:r>
    </w:p>
    <w:p w14:paraId="4A12A928">
      <w:pPr>
        <w:pStyle w:val="246"/>
        <w:spacing w:beforeLines="0" w:afterLines="0"/>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2、比选人郑重承诺:参选人所提交的参选文件及相关资料不向第三方泄露。</w:t>
      </w:r>
    </w:p>
    <w:p w14:paraId="45CDAC9A">
      <w:pPr>
        <w:pStyle w:val="246"/>
        <w:spacing w:beforeLines="0" w:afterLines="0"/>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3、本比选文件的解释权归宁德市福化环保科技有限公司。</w:t>
      </w:r>
    </w:p>
    <w:p w14:paraId="36A8C0C2">
      <w:pPr>
        <w:spacing w:line="500" w:lineRule="exact"/>
        <w:ind w:firstLine="420" w:firstLineChars="150"/>
        <w:rPr>
          <w:rFonts w:hint="eastAsia" w:ascii="仿宋_GB2312" w:hAnsi="仿宋_GB2312" w:eastAsia="仿宋_GB2312" w:cs="仿宋_GB2312"/>
          <w:kern w:val="0"/>
          <w:sz w:val="28"/>
          <w:szCs w:val="28"/>
        </w:rPr>
      </w:pPr>
    </w:p>
    <w:p w14:paraId="4304502F">
      <w:pPr>
        <w:spacing w:line="500" w:lineRule="exact"/>
        <w:ind w:firstLine="420" w:firstLineChars="150"/>
        <w:rPr>
          <w:rFonts w:hint="eastAsia" w:ascii="仿宋_GB2312" w:hAnsi="仿宋_GB2312" w:eastAsia="仿宋_GB2312" w:cs="仿宋_GB2312"/>
          <w:kern w:val="0"/>
          <w:sz w:val="28"/>
          <w:szCs w:val="28"/>
        </w:rPr>
      </w:pPr>
    </w:p>
    <w:p w14:paraId="5FFDB696">
      <w:pPr>
        <w:spacing w:line="500" w:lineRule="exact"/>
        <w:ind w:firstLine="420" w:firstLineChars="150"/>
        <w:rPr>
          <w:rFonts w:hint="eastAsia" w:ascii="仿宋_GB2312" w:hAnsi="仿宋_GB2312" w:eastAsia="仿宋_GB2312" w:cs="仿宋_GB2312"/>
          <w:kern w:val="0"/>
          <w:sz w:val="28"/>
          <w:szCs w:val="28"/>
        </w:rPr>
      </w:pPr>
    </w:p>
    <w:p w14:paraId="0360BCE4">
      <w:pPr>
        <w:pStyle w:val="205"/>
        <w:spacing w:line="500" w:lineRule="exact"/>
        <w:rPr>
          <w:rFonts w:hint="eastAsia" w:ascii="仿宋_GB2312" w:hAnsi="仿宋_GB2312" w:eastAsia="仿宋_GB2312" w:cs="仿宋_GB2312"/>
          <w:sz w:val="28"/>
          <w:szCs w:val="28"/>
        </w:rPr>
      </w:pPr>
    </w:p>
    <w:p w14:paraId="34D7A41D">
      <w:pPr>
        <w:pStyle w:val="205"/>
        <w:spacing w:line="500" w:lineRule="exact"/>
        <w:rPr>
          <w:rFonts w:hint="eastAsia" w:ascii="仿宋_GB2312" w:hAnsi="仿宋_GB2312" w:eastAsia="仿宋_GB2312" w:cs="仿宋_GB2312"/>
          <w:sz w:val="28"/>
          <w:szCs w:val="28"/>
        </w:rPr>
      </w:pPr>
    </w:p>
    <w:p w14:paraId="5E45AD56">
      <w:pPr>
        <w:pStyle w:val="205"/>
        <w:spacing w:line="500" w:lineRule="exact"/>
        <w:rPr>
          <w:rFonts w:hint="eastAsia" w:ascii="仿宋_GB2312" w:hAnsi="仿宋_GB2312" w:eastAsia="仿宋_GB2312" w:cs="仿宋_GB2312"/>
          <w:sz w:val="28"/>
          <w:szCs w:val="28"/>
        </w:rPr>
      </w:pPr>
    </w:p>
    <w:p w14:paraId="3B84D072">
      <w:pPr>
        <w:pStyle w:val="205"/>
        <w:spacing w:line="500" w:lineRule="exact"/>
        <w:rPr>
          <w:rFonts w:hint="eastAsia" w:ascii="仿宋_GB2312" w:hAnsi="仿宋_GB2312" w:eastAsia="仿宋_GB2312" w:cs="仿宋_GB2312"/>
          <w:sz w:val="28"/>
          <w:szCs w:val="28"/>
        </w:rPr>
      </w:pPr>
    </w:p>
    <w:p w14:paraId="678D3AFF">
      <w:pPr>
        <w:pStyle w:val="205"/>
        <w:spacing w:line="500" w:lineRule="exact"/>
        <w:rPr>
          <w:rFonts w:hint="eastAsia" w:ascii="仿宋_GB2312" w:hAnsi="仿宋_GB2312" w:eastAsia="仿宋_GB2312" w:cs="仿宋_GB2312"/>
          <w:sz w:val="28"/>
          <w:szCs w:val="28"/>
        </w:rPr>
      </w:pPr>
    </w:p>
    <w:p w14:paraId="5F167615">
      <w:pPr>
        <w:pStyle w:val="205"/>
        <w:spacing w:line="500" w:lineRule="exact"/>
        <w:rPr>
          <w:rFonts w:hint="eastAsia" w:ascii="仿宋_GB2312" w:hAnsi="仿宋_GB2312" w:eastAsia="仿宋_GB2312" w:cs="仿宋_GB2312"/>
          <w:sz w:val="28"/>
          <w:szCs w:val="28"/>
        </w:rPr>
      </w:pPr>
    </w:p>
    <w:p w14:paraId="3CAF900C">
      <w:pPr>
        <w:pStyle w:val="205"/>
        <w:spacing w:line="500" w:lineRule="exact"/>
        <w:rPr>
          <w:rFonts w:hint="eastAsia" w:ascii="仿宋_GB2312" w:hAnsi="仿宋_GB2312" w:eastAsia="仿宋_GB2312" w:cs="仿宋_GB2312"/>
          <w:sz w:val="28"/>
          <w:szCs w:val="28"/>
        </w:rPr>
      </w:pPr>
    </w:p>
    <w:p w14:paraId="765B158E">
      <w:pPr>
        <w:pStyle w:val="205"/>
        <w:spacing w:line="500" w:lineRule="exact"/>
        <w:rPr>
          <w:rFonts w:hint="eastAsia" w:ascii="仿宋_GB2312" w:hAnsi="仿宋_GB2312" w:eastAsia="仿宋_GB2312" w:cs="仿宋_GB2312"/>
          <w:sz w:val="28"/>
          <w:szCs w:val="28"/>
        </w:rPr>
      </w:pPr>
    </w:p>
    <w:p w14:paraId="27A18EEE">
      <w:pPr>
        <w:pStyle w:val="205"/>
        <w:spacing w:line="500" w:lineRule="exact"/>
        <w:rPr>
          <w:rFonts w:hint="eastAsia" w:ascii="仿宋_GB2312" w:hAnsi="仿宋_GB2312" w:eastAsia="仿宋_GB2312" w:cs="仿宋_GB2312"/>
          <w:sz w:val="28"/>
          <w:szCs w:val="28"/>
        </w:rPr>
      </w:pPr>
    </w:p>
    <w:p w14:paraId="240BE4D3">
      <w:pPr>
        <w:pStyle w:val="205"/>
        <w:spacing w:line="500" w:lineRule="exact"/>
        <w:rPr>
          <w:rFonts w:hint="eastAsia" w:ascii="仿宋_GB2312" w:hAnsi="仿宋_GB2312" w:eastAsia="仿宋_GB2312" w:cs="仿宋_GB2312"/>
          <w:sz w:val="28"/>
          <w:szCs w:val="28"/>
        </w:rPr>
      </w:pPr>
    </w:p>
    <w:p w14:paraId="298203E9">
      <w:pPr>
        <w:pStyle w:val="205"/>
        <w:spacing w:line="500" w:lineRule="exact"/>
        <w:rPr>
          <w:rFonts w:hint="eastAsia" w:ascii="仿宋_GB2312" w:hAnsi="仿宋_GB2312" w:eastAsia="仿宋_GB2312" w:cs="仿宋_GB2312"/>
          <w:sz w:val="28"/>
          <w:szCs w:val="28"/>
        </w:rPr>
      </w:pPr>
    </w:p>
    <w:p w14:paraId="2869F07F">
      <w:pPr>
        <w:pStyle w:val="205"/>
        <w:spacing w:line="500" w:lineRule="exact"/>
        <w:rPr>
          <w:rFonts w:hint="eastAsia" w:ascii="仿宋_GB2312" w:hAnsi="仿宋_GB2312" w:eastAsia="仿宋_GB2312" w:cs="仿宋_GB2312"/>
          <w:sz w:val="28"/>
          <w:szCs w:val="28"/>
        </w:rPr>
      </w:pPr>
    </w:p>
    <w:p w14:paraId="6F58D037">
      <w:pPr>
        <w:pStyle w:val="205"/>
        <w:spacing w:line="500" w:lineRule="exact"/>
        <w:rPr>
          <w:rFonts w:hint="eastAsia" w:ascii="仿宋_GB2312" w:hAnsi="仿宋_GB2312" w:eastAsia="仿宋_GB2312" w:cs="仿宋_GB2312"/>
          <w:sz w:val="28"/>
          <w:szCs w:val="28"/>
        </w:rPr>
      </w:pPr>
    </w:p>
    <w:p w14:paraId="3C432D04">
      <w:pPr>
        <w:pStyle w:val="205"/>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r>
        <w:rPr>
          <w:rFonts w:hint="eastAsia" w:ascii="黑体" w:hAnsi="黑体" w:eastAsia="黑体" w:cs="黑体"/>
          <w:b/>
          <w:bCs/>
          <w:sz w:val="28"/>
          <w:szCs w:val="28"/>
        </w:rPr>
        <w:t>附件1：</w:t>
      </w:r>
    </w:p>
    <w:p w14:paraId="456A80A4">
      <w:pPr>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危险货物运输</w:t>
      </w:r>
      <w:r>
        <w:rPr>
          <w:rFonts w:hint="eastAsia" w:ascii="方正小标宋简体" w:hAnsi="方正小标宋简体" w:eastAsia="方正小标宋简体" w:cs="方正小标宋简体"/>
          <w:bCs/>
          <w:sz w:val="44"/>
          <w:szCs w:val="44"/>
          <w:lang w:val="en-US" w:eastAsia="zh-CN"/>
        </w:rPr>
        <w:t>框架</w:t>
      </w:r>
      <w:r>
        <w:rPr>
          <w:rFonts w:hint="eastAsia" w:ascii="方正小标宋简体" w:hAnsi="方正小标宋简体" w:eastAsia="方正小标宋简体" w:cs="方正小标宋简体"/>
          <w:bCs/>
          <w:sz w:val="44"/>
          <w:szCs w:val="44"/>
        </w:rPr>
        <w:t>合同</w:t>
      </w:r>
    </w:p>
    <w:p w14:paraId="570E3BCB">
      <w:pPr>
        <w:pStyle w:val="205"/>
        <w:rPr>
          <w:sz w:val="24"/>
          <w:szCs w:val="24"/>
        </w:rPr>
      </w:pPr>
    </w:p>
    <w:p w14:paraId="22574CAD">
      <w:pPr>
        <w:spacing w:beforeLines="25" w:line="400" w:lineRule="exact"/>
        <w:rPr>
          <w:rFonts w:hint="eastAsia" w:ascii="黑体" w:hAnsi="黑体" w:eastAsia="黑体" w:cs="黑体"/>
          <w:sz w:val="24"/>
        </w:rPr>
      </w:pPr>
      <w:r>
        <w:rPr>
          <w:rFonts w:hint="eastAsia" w:ascii="黑体" w:hAnsi="黑体" w:eastAsia="黑体" w:cs="黑体"/>
          <w:sz w:val="24"/>
        </w:rPr>
        <w:t>甲方（托运方）：宁德市福化环保科技有限公司</w:t>
      </w:r>
    </w:p>
    <w:p w14:paraId="5BD1EA9A">
      <w:pPr>
        <w:spacing w:beforeLines="25"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住所地：</w:t>
      </w:r>
    </w:p>
    <w:p w14:paraId="44ACC521">
      <w:pPr>
        <w:spacing w:beforeLines="25"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法定代表人（或负责人）：</w:t>
      </w:r>
    </w:p>
    <w:p w14:paraId="5576A833">
      <w:pPr>
        <w:spacing w:beforeLines="25" w:line="400" w:lineRule="exact"/>
        <w:rPr>
          <w:rFonts w:hint="eastAsia" w:ascii="黑体" w:hAnsi="黑体" w:eastAsia="黑体" w:cs="黑体"/>
          <w:sz w:val="24"/>
        </w:rPr>
      </w:pPr>
      <w:r>
        <w:rPr>
          <w:rFonts w:hint="eastAsia" w:ascii="黑体" w:hAnsi="黑体" w:eastAsia="黑体" w:cs="黑体"/>
          <w:sz w:val="24"/>
        </w:rPr>
        <w:t>乙方（承运方）：[ ]</w:t>
      </w:r>
    </w:p>
    <w:p w14:paraId="37255CBA">
      <w:pPr>
        <w:tabs>
          <w:tab w:val="right" w:pos="8618"/>
        </w:tabs>
        <w:spacing w:beforeLines="25"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住所地：</w:t>
      </w:r>
      <w:r>
        <w:rPr>
          <w:rFonts w:hint="eastAsia" w:ascii="仿宋_GB2312" w:hAnsi="仿宋_GB2312" w:eastAsia="仿宋_GB2312" w:cs="仿宋_GB2312"/>
          <w:b/>
          <w:bCs/>
          <w:sz w:val="24"/>
        </w:rPr>
        <w:t>[ ]</w:t>
      </w:r>
      <w:r>
        <w:rPr>
          <w:rFonts w:hint="eastAsia" w:ascii="仿宋_GB2312" w:hAnsi="仿宋_GB2312" w:eastAsia="仿宋_GB2312" w:cs="仿宋_GB2312"/>
          <w:b/>
          <w:bCs/>
          <w:sz w:val="24"/>
        </w:rPr>
        <w:tab/>
      </w:r>
    </w:p>
    <w:p w14:paraId="77010907">
      <w:pPr>
        <w:spacing w:beforeLines="25"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法定代表人（或负责人）：</w:t>
      </w:r>
      <w:r>
        <w:rPr>
          <w:rFonts w:hint="eastAsia" w:ascii="仿宋_GB2312" w:hAnsi="仿宋_GB2312" w:eastAsia="仿宋_GB2312" w:cs="仿宋_GB2312"/>
          <w:b/>
          <w:bCs/>
          <w:sz w:val="24"/>
        </w:rPr>
        <w:t>[ ]</w:t>
      </w:r>
    </w:p>
    <w:p w14:paraId="40528A39">
      <w:pPr>
        <w:autoSpaceDE w:val="0"/>
        <w:autoSpaceDN w:val="0"/>
        <w:spacing w:beforeLines="25" w:line="400" w:lineRule="exact"/>
        <w:ind w:right="6"/>
        <w:rPr>
          <w:rFonts w:hint="eastAsia"/>
        </w:rPr>
      </w:pPr>
      <w:r>
        <w:rPr>
          <w:rFonts w:hint="eastAsia" w:ascii="仿宋_GB2312" w:hAnsi="仿宋_GB2312" w:eastAsia="仿宋_GB2312" w:cs="仿宋_GB2312"/>
          <w:sz w:val="24"/>
        </w:rPr>
        <w:t>就甲方委托乙方承运</w:t>
      </w:r>
      <w:r>
        <w:rPr>
          <w:rFonts w:hint="eastAsia" w:ascii="仿宋_GB2312" w:hAnsi="仿宋_GB2312" w:eastAsia="仿宋_GB2312" w:cs="仿宋_GB2312"/>
          <w:sz w:val="24"/>
          <w:shd w:val="clear" w:color="auto" w:fill="FFFFFF"/>
        </w:rPr>
        <w:t>危险货物（</w:t>
      </w:r>
      <w:r>
        <w:rPr>
          <w:rFonts w:hint="eastAsia" w:ascii="仿宋_GB2312" w:hAnsi="仿宋_GB2312" w:eastAsia="仿宋_GB2312" w:cs="仿宋_GB2312"/>
          <w:sz w:val="24"/>
        </w:rPr>
        <w:t>承运</w:t>
      </w:r>
      <w:r>
        <w:rPr>
          <w:rFonts w:hint="eastAsia" w:ascii="仿宋_GB2312" w:hAnsi="仿宋_GB2312" w:eastAsia="仿宋_GB2312" w:cs="仿宋_GB2312"/>
          <w:sz w:val="24"/>
          <w:shd w:val="clear" w:color="auto" w:fill="FFFFFF"/>
        </w:rPr>
        <w:t>危险货物是指使用危险货物专用车辆通过道路运输危险货物的作业全过程）</w:t>
      </w:r>
      <w:r>
        <w:rPr>
          <w:rFonts w:hint="eastAsia" w:ascii="仿宋_GB2312" w:hAnsi="仿宋_GB2312" w:eastAsia="仿宋_GB2312" w:cs="仿宋_GB2312"/>
          <w:sz w:val="24"/>
        </w:rPr>
        <w:t>事宜，甲乙双方在公平合理、互利互惠的基础上，经平等、友好、充分协商一致，签订本合同。</w:t>
      </w:r>
    </w:p>
    <w:p w14:paraId="0D1F6779">
      <w:pPr>
        <w:autoSpaceDE w:val="0"/>
        <w:autoSpaceDN w:val="0"/>
        <w:adjustRightInd w:val="0"/>
        <w:spacing w:beforeLines="25" w:line="400" w:lineRule="exact"/>
        <w:ind w:right="6" w:firstLine="480" w:firstLineChars="200"/>
        <w:jc w:val="center"/>
        <w:rPr>
          <w:rFonts w:hint="eastAsia" w:ascii="黑体" w:hAnsi="黑体" w:eastAsia="黑体" w:cs="黑体"/>
          <w:sz w:val="24"/>
        </w:rPr>
      </w:pPr>
      <w:r>
        <w:rPr>
          <w:rFonts w:hint="eastAsia" w:ascii="黑体" w:hAnsi="黑体" w:eastAsia="黑体" w:cs="黑体"/>
          <w:sz w:val="24"/>
        </w:rPr>
        <w:t>第一部分</w:t>
      </w:r>
      <w:r>
        <w:rPr>
          <w:rFonts w:hint="eastAsia" w:ascii="黑体" w:hAnsi="黑体" w:eastAsia="黑体" w:cs="黑体"/>
          <w:sz w:val="24"/>
        </w:rPr>
        <w:tab/>
      </w:r>
      <w:r>
        <w:rPr>
          <w:rFonts w:hint="eastAsia" w:ascii="黑体" w:hAnsi="黑体" w:eastAsia="黑体" w:cs="黑体"/>
          <w:sz w:val="24"/>
        </w:rPr>
        <w:t>通用条款</w:t>
      </w:r>
    </w:p>
    <w:p w14:paraId="510E7B41">
      <w:pPr>
        <w:tabs>
          <w:tab w:val="left" w:pos="1080"/>
        </w:tabs>
        <w:spacing w:beforeLines="25" w:line="400" w:lineRule="exact"/>
        <w:rPr>
          <w:rFonts w:hint="eastAsia" w:ascii="黑体" w:hAnsi="黑体" w:eastAsia="黑体" w:cs="黑体"/>
          <w:bCs/>
          <w:sz w:val="24"/>
        </w:rPr>
      </w:pPr>
      <w:r>
        <w:rPr>
          <w:rFonts w:hint="eastAsia" w:ascii="黑体" w:hAnsi="黑体" w:eastAsia="黑体" w:cs="黑体"/>
          <w:bCs/>
          <w:sz w:val="24"/>
        </w:rPr>
        <w:t>第1条</w:t>
      </w:r>
      <w:r>
        <w:rPr>
          <w:rFonts w:hint="eastAsia" w:ascii="黑体" w:hAnsi="黑体" w:eastAsia="黑体" w:cs="黑体"/>
          <w:bCs/>
          <w:sz w:val="24"/>
        </w:rPr>
        <w:tab/>
      </w:r>
      <w:r>
        <w:rPr>
          <w:rFonts w:hint="eastAsia" w:ascii="黑体" w:hAnsi="黑体" w:eastAsia="黑体" w:cs="黑体"/>
          <w:bCs/>
          <w:sz w:val="24"/>
        </w:rPr>
        <w:t>危险货物种类</w:t>
      </w:r>
    </w:p>
    <w:p w14:paraId="4A2A21C4">
      <w:pPr>
        <w:tabs>
          <w:tab w:val="left" w:pos="1080"/>
        </w:tabs>
        <w:spacing w:beforeLines="25"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甲方委托乙方承运下列危险货物（适用的打“</w:t>
      </w:r>
      <w:r>
        <w:rPr>
          <w:rFonts w:ascii="Arial" w:hAnsi="Arial" w:eastAsia="仿宋_GB2312" w:cs="Arial"/>
          <w:sz w:val="24"/>
        </w:rPr>
        <w:t>√</w:t>
      </w:r>
      <w:r>
        <w:rPr>
          <w:rFonts w:hint="eastAsia" w:ascii="仿宋_GB2312" w:hAnsi="仿宋_GB2312" w:eastAsia="仿宋_GB2312" w:cs="仿宋_GB2312"/>
          <w:sz w:val="24"/>
        </w:rPr>
        <w:t>”，可多选）：</w:t>
      </w:r>
    </w:p>
    <w:p w14:paraId="4D2B95AB">
      <w:pPr>
        <w:autoSpaceDE w:val="0"/>
        <w:autoSpaceDN w:val="0"/>
        <w:adjustRightInd w:val="0"/>
        <w:spacing w:beforeLines="25" w:line="400" w:lineRule="exact"/>
        <w:ind w:right="6"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fldChar w:fldCharType="begin">
          <w:ffData>
            <w:name w:val="CheckBox3"/>
            <w:enabled/>
            <w:calcOnExit w:val="0"/>
            <w:checkBox>
              <w:sizeAuto/>
              <w:default w:val="0"/>
              <w:checked w:val="0"/>
            </w:checkBox>
          </w:ffData>
        </w:fldChar>
      </w:r>
      <w:r>
        <w:rPr>
          <w:rFonts w:hint="eastAsia" w:ascii="仿宋_GB2312" w:hAnsi="仿宋_GB2312" w:eastAsia="仿宋_GB2312" w:cs="仿宋_GB2312"/>
          <w:sz w:val="24"/>
        </w:rPr>
        <w:instrText xml:space="preserve">FORMCHECKBOX</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 xml:space="preserve"> 第3类：易燃液体  </w:t>
      </w:r>
      <w:r>
        <w:rPr>
          <w:rFonts w:hint="eastAsia" w:ascii="仿宋_GB2312" w:hAnsi="仿宋_GB2312" w:eastAsia="仿宋_GB2312" w:cs="仿宋_GB2312"/>
          <w:sz w:val="24"/>
        </w:rPr>
        <w:fldChar w:fldCharType="begin">
          <w:ffData>
            <w:name w:val="CheckBox1"/>
            <w:enabled/>
            <w:calcOnExit w:val="0"/>
            <w:checkBox>
              <w:sizeAuto/>
              <w:default w:val="0"/>
              <w:checked w:val="0"/>
            </w:checkBox>
          </w:ffData>
        </w:fldChar>
      </w:r>
      <w:r>
        <w:rPr>
          <w:rFonts w:hint="eastAsia" w:ascii="仿宋_GB2312" w:hAnsi="仿宋_GB2312" w:eastAsia="仿宋_GB2312" w:cs="仿宋_GB2312"/>
          <w:sz w:val="24"/>
        </w:rPr>
        <w:instrText xml:space="preserve">FORMCHECKBOX</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 xml:space="preserve"> 第4类：易燃固体 </w:t>
      </w:r>
    </w:p>
    <w:p w14:paraId="5D702E5A">
      <w:pPr>
        <w:autoSpaceDE w:val="0"/>
        <w:autoSpaceDN w:val="0"/>
        <w:adjustRightInd w:val="0"/>
        <w:spacing w:beforeLines="25" w:line="400" w:lineRule="exact"/>
        <w:ind w:right="6"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fldChar w:fldCharType="begin">
          <w:ffData>
            <w:name w:val="CheckBox1"/>
            <w:enabled/>
            <w:calcOnExit w:val="0"/>
            <w:checkBox>
              <w:sizeAuto/>
              <w:default w:val="0"/>
              <w:checked w:val="0"/>
            </w:checkBox>
          </w:ffData>
        </w:fldChar>
      </w:r>
      <w:r>
        <w:rPr>
          <w:rFonts w:hint="eastAsia" w:ascii="仿宋_GB2312" w:hAnsi="仿宋_GB2312" w:eastAsia="仿宋_GB2312" w:cs="仿宋_GB2312"/>
          <w:sz w:val="24"/>
        </w:rPr>
        <w:instrText xml:space="preserve">FORMCHECKBOX</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 xml:space="preserve"> 第6类：毒性物质  </w:t>
      </w:r>
      <w:r>
        <w:rPr>
          <w:rFonts w:hint="eastAsia" w:ascii="仿宋_GB2312" w:hAnsi="仿宋_GB2312" w:eastAsia="仿宋_GB2312" w:cs="仿宋_GB2312"/>
          <w:sz w:val="24"/>
        </w:rPr>
        <w:fldChar w:fldCharType="begin">
          <w:ffData>
            <w:name w:val="CheckBox2"/>
            <w:enabled/>
            <w:calcOnExit w:val="0"/>
            <w:checkBox>
              <w:sizeAuto/>
              <w:default w:val="0"/>
              <w:checked w:val="0"/>
            </w:checkBox>
          </w:ffData>
        </w:fldChar>
      </w:r>
      <w:r>
        <w:rPr>
          <w:rFonts w:hint="eastAsia" w:ascii="仿宋_GB2312" w:hAnsi="仿宋_GB2312" w:eastAsia="仿宋_GB2312" w:cs="仿宋_GB2312"/>
          <w:sz w:val="24"/>
        </w:rPr>
        <w:instrText xml:space="preserve">FORMCHECKBOX</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 xml:space="preserve"> 其他：</w:t>
      </w:r>
    </w:p>
    <w:p w14:paraId="599901F3">
      <w:pPr>
        <w:tabs>
          <w:tab w:val="left" w:pos="1080"/>
        </w:tabs>
        <w:spacing w:beforeLines="25" w:line="400" w:lineRule="exact"/>
        <w:rPr>
          <w:rFonts w:hint="eastAsia" w:ascii="黑体" w:hAnsi="黑体" w:eastAsia="黑体" w:cs="黑体"/>
          <w:bCs/>
          <w:sz w:val="24"/>
        </w:rPr>
      </w:pPr>
      <w:r>
        <w:rPr>
          <w:rFonts w:hint="eastAsia" w:ascii="黑体" w:hAnsi="黑体" w:eastAsia="黑体" w:cs="黑体"/>
          <w:bCs/>
          <w:sz w:val="24"/>
        </w:rPr>
        <w:t>第2条</w:t>
      </w:r>
      <w:r>
        <w:rPr>
          <w:rFonts w:hint="eastAsia" w:ascii="黑体" w:hAnsi="黑体" w:eastAsia="黑体" w:cs="黑体"/>
          <w:bCs/>
          <w:sz w:val="24"/>
        </w:rPr>
        <w:tab/>
      </w:r>
      <w:r>
        <w:rPr>
          <w:rFonts w:hint="eastAsia" w:ascii="黑体" w:hAnsi="黑体" w:eastAsia="黑体" w:cs="黑体"/>
          <w:bCs/>
          <w:sz w:val="24"/>
        </w:rPr>
        <w:t>运输区域</w:t>
      </w:r>
    </w:p>
    <w:p w14:paraId="4B361589">
      <w:pPr>
        <w:tabs>
          <w:tab w:val="left" w:pos="1080"/>
        </w:tabs>
        <w:spacing w:beforeLines="25" w:line="400" w:lineRule="exact"/>
        <w:rPr>
          <w:rFonts w:ascii="仿宋_GB2312" w:hAnsi="仿宋_GB2312" w:eastAsia="仿宋_GB2312" w:cs="仿宋_GB2312"/>
          <w:bCs/>
          <w:sz w:val="24"/>
        </w:rPr>
      </w:pPr>
      <w:r>
        <w:rPr>
          <w:rFonts w:hint="eastAsia" w:ascii="仿宋_GB2312" w:hAnsi="仿宋_GB2312" w:eastAsia="仿宋_GB2312" w:cs="仿宋_GB2312"/>
          <w:bCs/>
          <w:sz w:val="24"/>
        </w:rPr>
        <w:t xml:space="preserve">    </w:t>
      </w:r>
      <w:r>
        <w:rPr>
          <w:rFonts w:hint="eastAsia" w:ascii="仿宋_GB2312" w:hAnsi="仿宋_GB2312" w:eastAsia="仿宋_GB2312" w:cs="仿宋_GB2312"/>
          <w:b/>
          <w:bCs/>
          <w:sz w:val="24"/>
        </w:rPr>
        <w:t>[ ]</w:t>
      </w:r>
    </w:p>
    <w:p w14:paraId="266D3DED">
      <w:pPr>
        <w:tabs>
          <w:tab w:val="left" w:pos="1080"/>
        </w:tabs>
        <w:spacing w:beforeLines="25" w:line="400" w:lineRule="exact"/>
        <w:rPr>
          <w:rFonts w:hint="eastAsia" w:ascii="黑体" w:hAnsi="黑体" w:eastAsia="黑体" w:cs="黑体"/>
          <w:bCs/>
          <w:sz w:val="24"/>
        </w:rPr>
      </w:pPr>
      <w:r>
        <w:rPr>
          <w:rFonts w:hint="eastAsia" w:ascii="黑体" w:hAnsi="黑体" w:eastAsia="黑体" w:cs="黑体"/>
          <w:bCs/>
          <w:sz w:val="24"/>
        </w:rPr>
        <w:t>第3条</w:t>
      </w:r>
      <w:r>
        <w:rPr>
          <w:rFonts w:hint="eastAsia" w:ascii="黑体" w:hAnsi="黑体" w:eastAsia="黑体" w:cs="黑体"/>
          <w:bCs/>
          <w:sz w:val="24"/>
        </w:rPr>
        <w:tab/>
      </w:r>
      <w:r>
        <w:rPr>
          <w:rFonts w:hint="eastAsia" w:ascii="黑体" w:hAnsi="黑体" w:eastAsia="黑体" w:cs="黑体"/>
          <w:bCs/>
          <w:sz w:val="24"/>
        </w:rPr>
        <w:t xml:space="preserve">合同期限 </w:t>
      </w:r>
    </w:p>
    <w:p w14:paraId="787F1512">
      <w:pPr>
        <w:tabs>
          <w:tab w:val="left" w:pos="1080"/>
        </w:tabs>
        <w:spacing w:beforeLines="25"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合同期限1年，自</w:t>
      </w:r>
      <w:r>
        <w:rPr>
          <w:rFonts w:hint="eastAsia" w:ascii="仿宋_GB2312" w:hAnsi="仿宋_GB2312" w:eastAsia="仿宋_GB2312" w:cs="仿宋_GB2312"/>
          <w:b/>
          <w:bCs/>
          <w:sz w:val="24"/>
        </w:rPr>
        <w:t>[ ]</w:t>
      </w:r>
      <w:r>
        <w:rPr>
          <w:rFonts w:hint="eastAsia" w:ascii="仿宋_GB2312" w:hAnsi="仿宋_GB2312" w:eastAsia="仿宋_GB2312" w:cs="仿宋_GB2312"/>
          <w:sz w:val="24"/>
        </w:rPr>
        <w:t>年</w:t>
      </w:r>
      <w:r>
        <w:rPr>
          <w:rFonts w:hint="eastAsia" w:ascii="仿宋_GB2312" w:hAnsi="仿宋_GB2312" w:eastAsia="仿宋_GB2312" w:cs="仿宋_GB2312"/>
          <w:b/>
          <w:bCs/>
          <w:sz w:val="24"/>
        </w:rPr>
        <w:t>[ ]</w:t>
      </w:r>
      <w:r>
        <w:rPr>
          <w:rFonts w:hint="eastAsia" w:ascii="仿宋_GB2312" w:hAnsi="仿宋_GB2312" w:eastAsia="仿宋_GB2312" w:cs="仿宋_GB2312"/>
          <w:sz w:val="24"/>
        </w:rPr>
        <w:t>月</w:t>
      </w:r>
      <w:r>
        <w:rPr>
          <w:rFonts w:hint="eastAsia" w:ascii="仿宋_GB2312" w:hAnsi="仿宋_GB2312" w:eastAsia="仿宋_GB2312" w:cs="仿宋_GB2312"/>
          <w:b/>
          <w:bCs/>
          <w:sz w:val="24"/>
        </w:rPr>
        <w:t>[ ]</w:t>
      </w:r>
      <w:r>
        <w:rPr>
          <w:rFonts w:hint="eastAsia" w:ascii="仿宋_GB2312" w:hAnsi="仿宋_GB2312" w:eastAsia="仿宋_GB2312" w:cs="仿宋_GB2312"/>
          <w:sz w:val="24"/>
        </w:rPr>
        <w:t>日起至</w:t>
      </w:r>
      <w:r>
        <w:rPr>
          <w:rFonts w:hint="eastAsia" w:ascii="仿宋_GB2312" w:hAnsi="仿宋_GB2312" w:eastAsia="仿宋_GB2312" w:cs="仿宋_GB2312"/>
          <w:b/>
          <w:bCs/>
          <w:sz w:val="24"/>
        </w:rPr>
        <w:t>[ ]</w:t>
      </w:r>
      <w:r>
        <w:rPr>
          <w:rFonts w:hint="eastAsia" w:ascii="仿宋_GB2312" w:hAnsi="仿宋_GB2312" w:eastAsia="仿宋_GB2312" w:cs="仿宋_GB2312"/>
          <w:sz w:val="24"/>
        </w:rPr>
        <w:t>年</w:t>
      </w:r>
      <w:r>
        <w:rPr>
          <w:rFonts w:hint="eastAsia" w:ascii="仿宋_GB2312" w:hAnsi="仿宋_GB2312" w:eastAsia="仿宋_GB2312" w:cs="仿宋_GB2312"/>
          <w:b/>
          <w:bCs/>
          <w:sz w:val="24"/>
        </w:rPr>
        <w:t>[ ]</w:t>
      </w:r>
      <w:r>
        <w:rPr>
          <w:rFonts w:hint="eastAsia" w:ascii="仿宋_GB2312" w:hAnsi="仿宋_GB2312" w:eastAsia="仿宋_GB2312" w:cs="仿宋_GB2312"/>
          <w:sz w:val="24"/>
        </w:rPr>
        <w:t>月</w:t>
      </w:r>
      <w:r>
        <w:rPr>
          <w:rFonts w:hint="eastAsia" w:ascii="仿宋_GB2312" w:hAnsi="仿宋_GB2312" w:eastAsia="仿宋_GB2312" w:cs="仿宋_GB2312"/>
          <w:b/>
          <w:bCs/>
          <w:sz w:val="24"/>
        </w:rPr>
        <w:t>[ ]</w:t>
      </w:r>
      <w:r>
        <w:rPr>
          <w:rFonts w:hint="eastAsia" w:ascii="仿宋_GB2312" w:hAnsi="仿宋_GB2312" w:eastAsia="仿宋_GB2312" w:cs="仿宋_GB2312"/>
          <w:sz w:val="24"/>
        </w:rPr>
        <w:t>日止。期限届满时，乙方已经接受但尚未运送至指定地点的危险货物，乙方仍应按照本合同约定的标准完成。</w:t>
      </w:r>
    </w:p>
    <w:p w14:paraId="6710E1F4">
      <w:pPr>
        <w:tabs>
          <w:tab w:val="left" w:pos="1080"/>
        </w:tabs>
        <w:spacing w:beforeLines="25" w:line="400" w:lineRule="exact"/>
        <w:rPr>
          <w:rFonts w:hint="eastAsia" w:ascii="黑体" w:hAnsi="黑体" w:eastAsia="黑体" w:cs="黑体"/>
          <w:bCs/>
          <w:sz w:val="24"/>
        </w:rPr>
      </w:pPr>
      <w:r>
        <w:rPr>
          <w:rFonts w:hint="eastAsia" w:ascii="黑体" w:hAnsi="黑体" w:eastAsia="黑体" w:cs="黑体"/>
          <w:bCs/>
          <w:sz w:val="24"/>
        </w:rPr>
        <w:t>第4条</w:t>
      </w:r>
      <w:r>
        <w:rPr>
          <w:rFonts w:hint="eastAsia" w:ascii="黑体" w:hAnsi="黑体" w:eastAsia="黑体" w:cs="黑体"/>
          <w:bCs/>
          <w:sz w:val="24"/>
        </w:rPr>
        <w:tab/>
      </w:r>
      <w:r>
        <w:rPr>
          <w:rFonts w:hint="eastAsia" w:ascii="黑体" w:hAnsi="黑体" w:eastAsia="黑体" w:cs="黑体"/>
          <w:bCs/>
          <w:sz w:val="24"/>
        </w:rPr>
        <w:t>运输标准及操作要求</w:t>
      </w:r>
    </w:p>
    <w:p w14:paraId="62DD8004">
      <w:pPr>
        <w:spacing w:beforeLines="25" w:line="400" w:lineRule="exact"/>
        <w:ind w:firstLine="420"/>
        <w:rPr>
          <w:rFonts w:hint="eastAsia" w:ascii="仿宋_GB2312" w:hAnsi="仿宋_GB2312" w:eastAsia="仿宋_GB2312" w:cs="仿宋_GB2312"/>
          <w:sz w:val="24"/>
        </w:rPr>
      </w:pPr>
      <w:r>
        <w:rPr>
          <w:rFonts w:hint="eastAsia" w:ascii="仿宋_GB2312" w:hAnsi="仿宋_GB2312" w:eastAsia="仿宋_GB2312" w:cs="仿宋_GB2312"/>
          <w:sz w:val="24"/>
        </w:rPr>
        <w:t>4.1 运输标准</w:t>
      </w:r>
    </w:p>
    <w:p w14:paraId="513CD6E3">
      <w:pPr>
        <w:spacing w:beforeLines="25" w:line="400" w:lineRule="exact"/>
        <w:ind w:firstLine="420"/>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4.1.1 乙方应当保障道路危险货物运输的安全，依法运输，诚实信用，在其《道路运输经营许可证》许可的运输危险货物的范围（类别、项别或品名）内承运危险货物。</w:t>
      </w:r>
    </w:p>
    <w:p w14:paraId="4544D4F2">
      <w:pPr>
        <w:spacing w:beforeLines="25" w:line="400" w:lineRule="exact"/>
        <w:ind w:firstLine="420"/>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4.1.2 乙方用于运输的专用车辆应配备有效的通讯工具，专用车辆的技术要求应当符合《道路运输车辆技术管理规定》有关规定（通过定期审验）并安装具有行驶记录功能的卫星定位装置，同时配备与运输的危险货物性质相适应的安全防护、环境保护和消防设施设备，张贴专用车辆标志。</w:t>
      </w:r>
    </w:p>
    <w:p w14:paraId="03CB3A1B">
      <w:pPr>
        <w:spacing w:beforeLines="25" w:line="400" w:lineRule="exact"/>
        <w:ind w:firstLine="420"/>
        <w:rPr>
          <w:rFonts w:hint="eastAsia" w:ascii="仿宋_GB2312" w:hAnsi="仿宋_GB2312" w:eastAsia="仿宋_GB2312" w:cs="仿宋_GB2312"/>
          <w:b/>
          <w:bCs/>
          <w:sz w:val="24"/>
          <w:u w:val="thick"/>
          <w:shd w:val="clear" w:color="auto" w:fill="FFFFFF"/>
        </w:rPr>
      </w:pPr>
      <w:r>
        <w:rPr>
          <w:rFonts w:hint="eastAsia" w:ascii="仿宋_GB2312" w:hAnsi="仿宋_GB2312" w:eastAsia="仿宋_GB2312" w:cs="仿宋_GB2312"/>
          <w:b/>
          <w:bCs/>
          <w:sz w:val="24"/>
          <w:u w:val="thick"/>
          <w:shd w:val="clear" w:color="auto" w:fill="FFFFFF"/>
        </w:rPr>
        <w:t>4.1.3 专用车辆投保必须投保危险货物承运人责任险、机动车商业第三者责任险及其他危化品运输行业需要的险种。</w:t>
      </w:r>
    </w:p>
    <w:p w14:paraId="201C2180">
      <w:pPr>
        <w:spacing w:beforeLines="25" w:line="400" w:lineRule="exact"/>
        <w:ind w:firstLine="420"/>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4.1.4 乙方从事道路危险货物运输的</w:t>
      </w:r>
      <w:r>
        <w:rPr>
          <w:rFonts w:hint="eastAsia" w:ascii="仿宋_GB2312" w:hAnsi="仿宋_GB2312" w:eastAsia="仿宋_GB2312" w:cs="仿宋_GB2312"/>
          <w:b/>
          <w:bCs/>
          <w:sz w:val="24"/>
          <w:u w:val="thick"/>
          <w:shd w:val="clear" w:color="auto" w:fill="FFFFFF"/>
        </w:rPr>
        <w:t>驾驶人员、装卸管理人员、押运人员应当取得相应的从业资格证</w:t>
      </w:r>
      <w:r>
        <w:rPr>
          <w:rFonts w:hint="eastAsia" w:ascii="仿宋_GB2312" w:hAnsi="仿宋_GB2312" w:eastAsia="仿宋_GB2312" w:cs="仿宋_GB2312"/>
          <w:sz w:val="24"/>
          <w:shd w:val="clear" w:color="auto" w:fill="FFFFFF"/>
        </w:rPr>
        <w:t>（专用车辆的驾驶人员取得相应机动车驾驶证，年龄不超过60周岁）。</w:t>
      </w:r>
    </w:p>
    <w:p w14:paraId="46DC0A5C">
      <w:pPr>
        <w:tabs>
          <w:tab w:val="left" w:pos="1080"/>
        </w:tabs>
        <w:spacing w:beforeLines="25" w:line="400" w:lineRule="exact"/>
        <w:ind w:firstLine="420"/>
        <w:rPr>
          <w:rFonts w:hint="eastAsia" w:ascii="仿宋_GB2312" w:hAnsi="仿宋_GB2312" w:eastAsia="仿宋_GB2312" w:cs="仿宋_GB2312"/>
          <w:sz w:val="24"/>
        </w:rPr>
      </w:pPr>
      <w:r>
        <w:rPr>
          <w:rFonts w:hint="eastAsia" w:ascii="仿宋_GB2312" w:hAnsi="仿宋_GB2312" w:eastAsia="仿宋_GB2312" w:cs="仿宋_GB2312"/>
          <w:sz w:val="24"/>
        </w:rPr>
        <w:t>4.2 操作要求</w:t>
      </w:r>
    </w:p>
    <w:p w14:paraId="624F56B1">
      <w:pPr>
        <w:tabs>
          <w:tab w:val="left" w:pos="1080"/>
        </w:tabs>
        <w:spacing w:beforeLines="25" w:line="400" w:lineRule="exact"/>
        <w:ind w:firstLine="420"/>
        <w:rPr>
          <w:rFonts w:hint="eastAsia" w:ascii="仿宋_GB2312" w:hAnsi="仿宋_GB2312" w:eastAsia="仿宋_GB2312" w:cs="仿宋_GB2312"/>
          <w:sz w:val="24"/>
        </w:rPr>
      </w:pPr>
      <w:r>
        <w:rPr>
          <w:rFonts w:hint="eastAsia" w:ascii="仿宋_GB2312" w:hAnsi="仿宋_GB2312" w:eastAsia="仿宋_GB2312" w:cs="仿宋_GB2312"/>
          <w:sz w:val="24"/>
        </w:rPr>
        <w:t>4.2.1 甲方根据需要，提前2个工作日，以电话或其他通讯方式通知乙方运输事宜。</w:t>
      </w:r>
    </w:p>
    <w:p w14:paraId="0B23EB35">
      <w:pPr>
        <w:tabs>
          <w:tab w:val="left" w:pos="1080"/>
        </w:tabs>
        <w:spacing w:beforeLines="25" w:line="400" w:lineRule="exact"/>
        <w:ind w:firstLine="420"/>
        <w:rPr>
          <w:rFonts w:hint="eastAsia" w:ascii="仿宋_GB2312" w:hAnsi="仿宋_GB2312" w:eastAsia="仿宋_GB2312" w:cs="仿宋_GB2312"/>
          <w:sz w:val="24"/>
        </w:rPr>
      </w:pPr>
      <w:r>
        <w:rPr>
          <w:rFonts w:hint="eastAsia" w:ascii="仿宋_GB2312" w:hAnsi="仿宋_GB2312" w:eastAsia="仿宋_GB2312" w:cs="仿宋_GB2312"/>
          <w:sz w:val="24"/>
        </w:rPr>
        <w:t>4.2.2 乙方接到甲方通知后2个工作日内，应当安排好符合要求的运输车辆及人员，将相关信息通过电子邮件或其它联系方式（短信、微信等）告知甲方；如乙方无法安排车辆，应当在接到通知后当天告知甲方，否则即视为乙方违约。</w:t>
      </w:r>
    </w:p>
    <w:p w14:paraId="34F753E6">
      <w:pPr>
        <w:tabs>
          <w:tab w:val="left" w:pos="1080"/>
        </w:tabs>
        <w:spacing w:beforeLines="25" w:line="400" w:lineRule="exact"/>
        <w:ind w:firstLine="420"/>
        <w:rPr>
          <w:rFonts w:hint="eastAsia" w:ascii="仿宋_GB2312" w:hAnsi="仿宋_GB2312" w:eastAsia="仿宋_GB2312" w:cs="仿宋_GB2312"/>
          <w:sz w:val="24"/>
        </w:rPr>
      </w:pPr>
      <w:r>
        <w:rPr>
          <w:rFonts w:hint="eastAsia" w:ascii="仿宋_GB2312" w:hAnsi="仿宋_GB2312" w:eastAsia="仿宋_GB2312" w:cs="仿宋_GB2312"/>
          <w:sz w:val="24"/>
        </w:rPr>
        <w:t>4.2.3 乙方车辆在指定日期至指定地点接收危险货物。</w:t>
      </w:r>
    </w:p>
    <w:p w14:paraId="524C9483">
      <w:pPr>
        <w:tabs>
          <w:tab w:val="left" w:pos="1080"/>
        </w:tabs>
        <w:spacing w:beforeLines="25" w:line="400" w:lineRule="exact"/>
        <w:ind w:firstLine="420"/>
        <w:rPr>
          <w:rFonts w:hint="eastAsia" w:ascii="仿宋_GB2312" w:hAnsi="仿宋_GB2312" w:eastAsia="仿宋_GB2312" w:cs="仿宋_GB2312"/>
          <w:sz w:val="24"/>
        </w:rPr>
      </w:pPr>
      <w:r>
        <w:rPr>
          <w:rFonts w:hint="eastAsia" w:ascii="仿宋_GB2312" w:hAnsi="仿宋_GB2312" w:eastAsia="仿宋_GB2312" w:cs="仿宋_GB2312"/>
          <w:sz w:val="24"/>
        </w:rPr>
        <w:t>4.2.4 核对：乙方应确认拟转移的危险货物具有转移联单（免于运行转移联单的除外），并根据联单的内容，核对待转移危险货物的准确重量（数量）、包装、标识和标签与联单是否相符，不相符的，应当拒绝运输。严禁将不同类别的危险货物混装混载，严禁将包装破损、标识和标签不清的危险货物装车运输。</w:t>
      </w:r>
    </w:p>
    <w:p w14:paraId="5475F21B">
      <w:pPr>
        <w:spacing w:beforeLines="25" w:line="400" w:lineRule="exact"/>
        <w:ind w:firstLine="420"/>
        <w:rPr>
          <w:rFonts w:hint="eastAsia" w:ascii="仿宋_GB2312" w:hAnsi="仿宋_GB2312" w:eastAsia="仿宋_GB2312" w:cs="仿宋_GB2312"/>
          <w:sz w:val="24"/>
        </w:rPr>
      </w:pPr>
      <w:r>
        <w:rPr>
          <w:rFonts w:hint="eastAsia" w:ascii="仿宋_GB2312" w:hAnsi="仿宋_GB2312" w:eastAsia="仿宋_GB2312" w:cs="仿宋_GB2312"/>
          <w:sz w:val="24"/>
        </w:rPr>
        <w:t xml:space="preserve">4.2.5 运输：乙方应按照交通运输主管部门的有关规定运输危险货物，防止危险货物丢失、包装破损、泄露等造成突发环境事件。 </w:t>
      </w:r>
    </w:p>
    <w:p w14:paraId="68A233EE">
      <w:pPr>
        <w:spacing w:beforeLines="25" w:line="400" w:lineRule="exact"/>
        <w:ind w:firstLine="420"/>
        <w:rPr>
          <w:rFonts w:hint="eastAsia" w:ascii="仿宋_GB2312" w:hAnsi="仿宋_GB2312" w:eastAsia="仿宋_GB2312" w:cs="仿宋_GB2312"/>
          <w:sz w:val="24"/>
        </w:rPr>
      </w:pPr>
      <w:r>
        <w:rPr>
          <w:rFonts w:hint="eastAsia" w:ascii="仿宋_GB2312" w:hAnsi="仿宋_GB2312" w:eastAsia="仿宋_GB2312" w:cs="仿宋_GB2312"/>
          <w:sz w:val="24"/>
        </w:rPr>
        <w:t>4.2.6 应急和报告：乙方应制定意外事故的防范措施和应急预案，在运输过程中发生突发事故（突发事故是指突然发生，造成或者可能造成严重危害，需要采取应急处置措施予以应对的事故灾难、公共卫生事件或其他安全事件等）时，</w:t>
      </w:r>
      <w:r>
        <w:rPr>
          <w:rFonts w:hint="eastAsia" w:ascii="仿宋_GB2312" w:hAnsi="仿宋_GB2312" w:eastAsia="仿宋_GB2312" w:cs="仿宋_GB2312"/>
          <w:b/>
          <w:bCs/>
          <w:sz w:val="24"/>
          <w:u w:val="thick"/>
          <w:shd w:val="clear" w:color="auto" w:fill="FFFFFF"/>
        </w:rPr>
        <w:t>应立即向事故发生地县级以上地方交通运输主管部门和环境保护主管部门报告，并通知危险货物迁出者和甲方，并采取有效措施进行补救</w:t>
      </w:r>
      <w:r>
        <w:rPr>
          <w:rFonts w:hint="eastAsia" w:ascii="仿宋_GB2312" w:hAnsi="仿宋_GB2312" w:eastAsia="仿宋_GB2312" w:cs="仿宋_GB2312"/>
          <w:sz w:val="24"/>
        </w:rPr>
        <w:t>。</w:t>
      </w:r>
    </w:p>
    <w:p w14:paraId="1BFD0F69">
      <w:pPr>
        <w:spacing w:beforeLines="25" w:line="400" w:lineRule="exact"/>
        <w:ind w:firstLine="420"/>
        <w:rPr>
          <w:rFonts w:hint="eastAsia" w:ascii="仿宋_GB2312" w:hAnsi="仿宋_GB2312" w:eastAsia="仿宋_GB2312" w:cs="仿宋_GB2312"/>
          <w:sz w:val="24"/>
        </w:rPr>
      </w:pPr>
      <w:r>
        <w:rPr>
          <w:rFonts w:hint="eastAsia" w:ascii="仿宋_GB2312" w:hAnsi="仿宋_GB2312" w:eastAsia="仿宋_GB2312" w:cs="仿宋_GB2312"/>
          <w:sz w:val="24"/>
        </w:rPr>
        <w:t>4.2.7 乙方将托运的危险货物全部完好的运抵甲方指定的地点，与甲方进行核对交接，核对危险货物种类、重量（数量）与转移联单（免于运行转移联单的除外）是否相符。</w:t>
      </w:r>
    </w:p>
    <w:p w14:paraId="45A7FF6B">
      <w:pPr>
        <w:spacing w:beforeLines="25" w:line="400" w:lineRule="exact"/>
        <w:ind w:firstLine="420"/>
        <w:rPr>
          <w:rFonts w:hint="eastAsia" w:ascii="仿宋_GB2312" w:hAnsi="仿宋_GB2312" w:eastAsia="仿宋_GB2312" w:cs="仿宋_GB2312"/>
          <w:bCs/>
          <w:sz w:val="24"/>
        </w:rPr>
      </w:pPr>
      <w:r>
        <w:rPr>
          <w:rFonts w:hint="eastAsia" w:ascii="仿宋_GB2312" w:hAnsi="仿宋_GB2312" w:eastAsia="仿宋_GB2312" w:cs="仿宋_GB2312"/>
          <w:bCs/>
          <w:sz w:val="24"/>
        </w:rPr>
        <w:t>4.2.8 特别声明：乙方作为专业危险货物运输单位，应根据自身经验、专业判断拟运输的危险货物是否适合运输。</w:t>
      </w:r>
    </w:p>
    <w:p w14:paraId="74FF811A">
      <w:pPr>
        <w:spacing w:beforeLines="25" w:line="400" w:lineRule="exact"/>
        <w:ind w:firstLine="420"/>
        <w:rPr>
          <w:rFonts w:hint="eastAsia" w:ascii="仿宋_GB2312" w:hAnsi="仿宋_GB2312" w:eastAsia="仿宋_GB2312" w:cs="仿宋_GB2312"/>
          <w:sz w:val="24"/>
        </w:rPr>
      </w:pPr>
      <w:r>
        <w:rPr>
          <w:rFonts w:hint="eastAsia" w:ascii="仿宋_GB2312" w:hAnsi="仿宋_GB2312" w:eastAsia="仿宋_GB2312" w:cs="仿宋_GB2312"/>
          <w:sz w:val="24"/>
        </w:rPr>
        <w:t>4.3 其他</w:t>
      </w:r>
    </w:p>
    <w:p w14:paraId="172877BA">
      <w:pPr>
        <w:spacing w:beforeLines="25" w:line="400" w:lineRule="exact"/>
        <w:ind w:firstLine="420"/>
        <w:rPr>
          <w:rFonts w:hint="eastAsia" w:ascii="仿宋_GB2312" w:hAnsi="仿宋_GB2312" w:eastAsia="仿宋_GB2312" w:cs="仿宋_GB2312"/>
          <w:sz w:val="24"/>
        </w:rPr>
      </w:pPr>
      <w:r>
        <w:rPr>
          <w:rFonts w:hint="eastAsia" w:ascii="仿宋_GB2312" w:hAnsi="仿宋_GB2312" w:eastAsia="仿宋_GB2312" w:cs="仿宋_GB2312"/>
          <w:sz w:val="24"/>
        </w:rPr>
        <w:t>合同履行中，国家法律法规、政府政策或行业组织等对危险货物运输制定更高标准的，按照更高标准执行；各类标准不一致的，按照最高标准执行。</w:t>
      </w:r>
    </w:p>
    <w:p w14:paraId="0A69E1D2">
      <w:pPr>
        <w:tabs>
          <w:tab w:val="left" w:pos="1080"/>
        </w:tabs>
        <w:spacing w:beforeLines="25" w:line="400" w:lineRule="exact"/>
        <w:rPr>
          <w:rFonts w:hint="eastAsia" w:ascii="黑体" w:hAnsi="黑体" w:eastAsia="黑体" w:cs="黑体"/>
          <w:bCs/>
          <w:sz w:val="24"/>
        </w:rPr>
      </w:pPr>
      <w:r>
        <w:rPr>
          <w:rFonts w:hint="eastAsia" w:ascii="黑体" w:hAnsi="黑体" w:eastAsia="黑体" w:cs="黑体"/>
          <w:bCs/>
          <w:sz w:val="24"/>
        </w:rPr>
        <w:t>第5条</w:t>
      </w:r>
      <w:r>
        <w:rPr>
          <w:rFonts w:hint="eastAsia" w:ascii="黑体" w:hAnsi="黑体" w:eastAsia="黑体" w:cs="黑体"/>
          <w:bCs/>
          <w:sz w:val="24"/>
        </w:rPr>
        <w:tab/>
      </w:r>
      <w:r>
        <w:rPr>
          <w:rFonts w:hint="eastAsia" w:ascii="黑体" w:hAnsi="黑体" w:eastAsia="黑体" w:cs="黑体"/>
          <w:bCs/>
          <w:sz w:val="24"/>
        </w:rPr>
        <w:t xml:space="preserve">运输服务费用  </w:t>
      </w:r>
    </w:p>
    <w:p w14:paraId="12F0E27F">
      <w:pPr>
        <w:tabs>
          <w:tab w:val="left" w:pos="1080"/>
        </w:tabs>
        <w:spacing w:beforeLines="25"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5.1 计费标准：运输费为含税价，包含乙方提供本合同项下的运输服务所能获得的全部费用等，除非双方另有书面约定，甲方不再承担其他费用。具体计费标准如下：</w:t>
      </w:r>
    </w:p>
    <w:tbl>
      <w:tblPr>
        <w:tblStyle w:val="31"/>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1680"/>
        <w:gridCol w:w="1878"/>
        <w:gridCol w:w="1872"/>
        <w:gridCol w:w="1680"/>
      </w:tblGrid>
      <w:tr w14:paraId="020F0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554" w:type="dxa"/>
          </w:tcPr>
          <w:p w14:paraId="097DD518">
            <w:pPr>
              <w:pStyle w:val="205"/>
              <w:spacing w:line="500" w:lineRule="exac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运距</w:t>
            </w:r>
          </w:p>
        </w:tc>
        <w:tc>
          <w:tcPr>
            <w:tcW w:w="1680" w:type="dxa"/>
          </w:tcPr>
          <w:p w14:paraId="458CD3F3">
            <w:pPr>
              <w:pStyle w:val="205"/>
              <w:spacing w:line="500" w:lineRule="exac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1-100KM（含）</w:t>
            </w:r>
          </w:p>
        </w:tc>
        <w:tc>
          <w:tcPr>
            <w:tcW w:w="1878" w:type="dxa"/>
          </w:tcPr>
          <w:p w14:paraId="09BF433C">
            <w:pPr>
              <w:pStyle w:val="205"/>
              <w:spacing w:line="500" w:lineRule="exac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100-250KM（含）</w:t>
            </w:r>
          </w:p>
        </w:tc>
        <w:tc>
          <w:tcPr>
            <w:tcW w:w="1872" w:type="dxa"/>
          </w:tcPr>
          <w:p w14:paraId="7EE10A88">
            <w:pPr>
              <w:pStyle w:val="205"/>
              <w:spacing w:line="500" w:lineRule="exac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250-400KM（含）</w:t>
            </w:r>
          </w:p>
        </w:tc>
        <w:tc>
          <w:tcPr>
            <w:tcW w:w="1680" w:type="dxa"/>
          </w:tcPr>
          <w:p w14:paraId="7638FAD4">
            <w:pPr>
              <w:pStyle w:val="205"/>
              <w:spacing w:line="500" w:lineRule="exac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400KM 以上</w:t>
            </w:r>
          </w:p>
        </w:tc>
      </w:tr>
      <w:tr w14:paraId="3F038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554" w:type="dxa"/>
          </w:tcPr>
          <w:p w14:paraId="1D7CF61C">
            <w:pPr>
              <w:pStyle w:val="205"/>
              <w:spacing w:line="500" w:lineRule="exac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结算价格</w:t>
            </w:r>
          </w:p>
        </w:tc>
        <w:tc>
          <w:tcPr>
            <w:tcW w:w="1680" w:type="dxa"/>
          </w:tcPr>
          <w:p w14:paraId="0CB4F6A6">
            <w:pPr>
              <w:pStyle w:val="205"/>
              <w:spacing w:line="500" w:lineRule="exact"/>
              <w:rPr>
                <w:rFonts w:hint="eastAsia" w:ascii="仿宋_GB2312" w:hAnsi="仿宋_GB2312" w:eastAsia="仿宋_GB2312" w:cs="仿宋_GB2312"/>
                <w:kern w:val="2"/>
                <w:sz w:val="24"/>
                <w:szCs w:val="24"/>
              </w:rPr>
            </w:pPr>
          </w:p>
        </w:tc>
        <w:tc>
          <w:tcPr>
            <w:tcW w:w="1878" w:type="dxa"/>
          </w:tcPr>
          <w:p w14:paraId="6E630669">
            <w:pPr>
              <w:pStyle w:val="205"/>
              <w:spacing w:line="500" w:lineRule="exact"/>
              <w:rPr>
                <w:rFonts w:hint="eastAsia" w:ascii="仿宋_GB2312" w:hAnsi="仿宋_GB2312" w:eastAsia="仿宋_GB2312" w:cs="仿宋_GB2312"/>
                <w:kern w:val="2"/>
                <w:sz w:val="24"/>
                <w:szCs w:val="24"/>
              </w:rPr>
            </w:pPr>
          </w:p>
        </w:tc>
        <w:tc>
          <w:tcPr>
            <w:tcW w:w="1872" w:type="dxa"/>
          </w:tcPr>
          <w:p w14:paraId="674A9B7B">
            <w:pPr>
              <w:pStyle w:val="205"/>
              <w:spacing w:line="500" w:lineRule="exact"/>
              <w:rPr>
                <w:rFonts w:hint="eastAsia" w:ascii="仿宋_GB2312" w:hAnsi="仿宋_GB2312" w:eastAsia="仿宋_GB2312" w:cs="仿宋_GB2312"/>
                <w:kern w:val="2"/>
                <w:sz w:val="24"/>
                <w:szCs w:val="24"/>
              </w:rPr>
            </w:pPr>
          </w:p>
        </w:tc>
        <w:tc>
          <w:tcPr>
            <w:tcW w:w="1680" w:type="dxa"/>
          </w:tcPr>
          <w:p w14:paraId="1C04D726">
            <w:pPr>
              <w:pStyle w:val="205"/>
              <w:spacing w:line="500" w:lineRule="exact"/>
              <w:rPr>
                <w:rFonts w:hint="eastAsia" w:ascii="仿宋_GB2312" w:hAnsi="仿宋_GB2312" w:eastAsia="仿宋_GB2312" w:cs="仿宋_GB2312"/>
                <w:kern w:val="2"/>
                <w:sz w:val="24"/>
                <w:szCs w:val="24"/>
              </w:rPr>
            </w:pPr>
          </w:p>
        </w:tc>
      </w:tr>
      <w:tr w14:paraId="79134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54" w:type="dxa"/>
          </w:tcPr>
          <w:p w14:paraId="757661E3">
            <w:pPr>
              <w:pStyle w:val="205"/>
              <w:spacing w:line="500" w:lineRule="exac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备注</w:t>
            </w:r>
          </w:p>
        </w:tc>
        <w:tc>
          <w:tcPr>
            <w:tcW w:w="7110" w:type="dxa"/>
            <w:gridSpan w:val="4"/>
          </w:tcPr>
          <w:p w14:paraId="00F82204">
            <w:pPr>
              <w:pStyle w:val="2"/>
              <w:spacing w:line="500" w:lineRule="exact"/>
              <w:rPr>
                <w:rFonts w:hint="eastAsia" w:ascii="仿宋_GB2312" w:hAnsi="仿宋_GB2312" w:eastAsia="仿宋_GB2312" w:cs="仿宋_GB2312"/>
                <w:b w:val="0"/>
                <w:spacing w:val="0"/>
                <w:sz w:val="24"/>
                <w:szCs w:val="24"/>
              </w:rPr>
            </w:pPr>
            <w:r>
              <w:rPr>
                <w:rFonts w:hint="eastAsia" w:ascii="仿宋_GB2312" w:hAnsi="仿宋_GB2312" w:eastAsia="仿宋_GB2312" w:cs="仿宋_GB2312"/>
                <w:b w:val="0"/>
                <w:spacing w:val="0"/>
                <w:sz w:val="24"/>
                <w:szCs w:val="24"/>
              </w:rPr>
              <w:t>1.保底：</w:t>
            </w:r>
          </w:p>
          <w:p w14:paraId="02DCBC07">
            <w:pPr>
              <w:pStyle w:val="2"/>
              <w:spacing w:line="500" w:lineRule="exact"/>
              <w:rPr>
                <w:rFonts w:hint="eastAsia" w:ascii="仿宋_GB2312" w:hAnsi="仿宋_GB2312" w:eastAsia="仿宋_GB2312" w:cs="仿宋_GB2312"/>
                <w:b w:val="0"/>
                <w:spacing w:val="0"/>
                <w:sz w:val="24"/>
                <w:szCs w:val="24"/>
              </w:rPr>
            </w:pPr>
            <w:r>
              <w:rPr>
                <w:rFonts w:hint="eastAsia" w:ascii="仿宋_GB2312" w:hAnsi="仿宋_GB2312" w:eastAsia="仿宋_GB2312" w:cs="仿宋_GB2312"/>
                <w:b w:val="0"/>
                <w:spacing w:val="0"/>
                <w:sz w:val="24"/>
                <w:szCs w:val="24"/>
              </w:rPr>
              <w:t>（1）核定荷载量30吨以上（含）危废货运车，因比选人原因，运载货物不足25吨的，按25吨结算；</w:t>
            </w:r>
          </w:p>
          <w:p w14:paraId="042338D5">
            <w:pPr>
              <w:pStyle w:val="2"/>
              <w:spacing w:line="500" w:lineRule="exact"/>
              <w:rPr>
                <w:rFonts w:hint="eastAsia" w:ascii="仿宋_GB2312" w:hAnsi="仿宋_GB2312" w:eastAsia="仿宋_GB2312" w:cs="仿宋_GB2312"/>
                <w:b w:val="0"/>
                <w:spacing w:val="0"/>
                <w:sz w:val="24"/>
                <w:szCs w:val="24"/>
              </w:rPr>
            </w:pPr>
            <w:r>
              <w:rPr>
                <w:rFonts w:hint="eastAsia" w:ascii="仿宋_GB2312" w:hAnsi="仿宋_GB2312" w:eastAsia="仿宋_GB2312" w:cs="仿宋_GB2312"/>
                <w:b w:val="0"/>
                <w:spacing w:val="0"/>
                <w:sz w:val="24"/>
                <w:szCs w:val="24"/>
              </w:rPr>
              <w:t>（2）运距少于50公里，按照50公里结算（江阴工业园及周边区域范围内，设置保底运输结算价为900元/车）；</w:t>
            </w:r>
          </w:p>
          <w:p w14:paraId="35C12032">
            <w:pPr>
              <w:widowControl/>
              <w:spacing w:line="5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2.拼车运输结算方式：</w:t>
            </w:r>
          </w:p>
          <w:p w14:paraId="73D82C2B">
            <w:pPr>
              <w:pStyle w:val="246"/>
              <w:spacing w:beforeLines="0" w:afterLines="0" w:line="500" w:lineRule="exact"/>
              <w:ind w:firstLine="0" w:firstLineChars="0"/>
              <w:rPr>
                <w:rFonts w:hint="eastAsia" w:ascii="仿宋_GB2312" w:hAnsi="仿宋_GB2312" w:eastAsia="仿宋_GB2312" w:cs="仿宋_GB2312"/>
                <w:b/>
                <w:u w:val="single"/>
              </w:rPr>
            </w:pPr>
            <w:r>
              <w:rPr>
                <w:rFonts w:hint="eastAsia" w:ascii="仿宋_GB2312" w:hAnsi="仿宋_GB2312" w:eastAsia="仿宋_GB2312" w:cs="仿宋_GB2312"/>
                <w:sz w:val="24"/>
                <w:szCs w:val="24"/>
              </w:rPr>
              <w:t>①江阴工业园及周边区域（或与第一个转运点距离50公里范围内）的结算方式：每增加1个收运点增加运输费200元；②拼车收运点，超过第一个收运点50公里的结算方式：分段结算，结算运距从第一个收运点（A点）起始计算，按拼车转运点累加。转运量未达到25吨的按25吨结算，若在下一个拼车点（B点）收运量超过25吨后，从B点开始按实际转运量结算。以此类推。③吨﹒公里</w:t>
            </w:r>
            <w:r>
              <w:rPr>
                <w:rFonts w:hint="eastAsia" w:ascii="仿宋_GB2312" w:hAnsi="仿宋_GB2312" w:eastAsia="仿宋_GB2312" w:cs="仿宋_GB2312"/>
                <w:sz w:val="24"/>
              </w:rPr>
              <w:t>单价按累计公里数套档。</w:t>
            </w:r>
          </w:p>
          <w:p w14:paraId="5A93565F">
            <w:pPr>
              <w:widowControl/>
              <w:spacing w:line="5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3.包装等材料（不限于吨桶、托盘、吨袋等）返还服务结算：</w:t>
            </w:r>
          </w:p>
          <w:p w14:paraId="54E4E7F4">
            <w:pPr>
              <w:pStyle w:val="205"/>
              <w:spacing w:beforeLines="25" w:line="400" w:lineRule="exact"/>
              <w:rPr>
                <w:rFonts w:hint="eastAsia" w:ascii="仿宋_GB2312" w:hAnsi="仿宋_GB2312" w:eastAsia="仿宋_GB2312" w:cs="仿宋_GB2312"/>
                <w:sz w:val="24"/>
                <w:u w:val="single"/>
              </w:rPr>
            </w:pPr>
            <w:r>
              <w:rPr>
                <w:rFonts w:hint="eastAsia" w:ascii="仿宋_GB2312" w:hAnsi="仿宋_GB2312" w:eastAsia="仿宋_GB2312" w:cs="仿宋_GB2312"/>
                <w:sz w:val="24"/>
              </w:rPr>
              <w:t>免费。如甲方安排专车返还的，按结算价格的70%计费。</w:t>
            </w:r>
            <w:r>
              <w:rPr>
                <w:rFonts w:hint="eastAsia" w:ascii="仿宋_GB2312" w:hAnsi="仿宋_GB2312" w:eastAsia="仿宋_GB2312" w:cs="仿宋_GB2312"/>
                <w:bCs/>
                <w:sz w:val="24"/>
              </w:rPr>
              <w:t>如在漳州古雷港经济开发区及周边区域范围内专车返还的按300元/车结算。</w:t>
            </w:r>
          </w:p>
          <w:p w14:paraId="66CD4C59">
            <w:pPr>
              <w:widowControl/>
              <w:spacing w:line="5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6.以上价格不含叉车装卸、劳务等费用，必要时驾驶员及押运员应能无条件配合装卸车（含挂带）服务。</w:t>
            </w:r>
          </w:p>
          <w:p w14:paraId="60ABC7E9">
            <w:pPr>
              <w:pStyle w:val="246"/>
              <w:spacing w:beforeLines="0" w:afterLines="0" w:line="500" w:lineRule="exact"/>
              <w:ind w:firstLine="0" w:firstLineChars="0"/>
              <w:rPr>
                <w:rFonts w:hint="eastAsia" w:ascii="仿宋_GB2312" w:hAnsi="仿宋_GB2312" w:eastAsia="仿宋_GB2312" w:cs="仿宋_GB2312"/>
                <w:bCs w:val="0"/>
                <w:sz w:val="24"/>
                <w:szCs w:val="24"/>
              </w:rPr>
            </w:pPr>
            <w:r>
              <w:rPr>
                <w:rFonts w:hint="eastAsia" w:ascii="仿宋_GB2312" w:hAnsi="仿宋_GB2312" w:eastAsia="仿宋_GB2312" w:cs="仿宋_GB2312"/>
                <w:bCs w:val="0"/>
                <w:sz w:val="24"/>
                <w:szCs w:val="24"/>
              </w:rPr>
              <w:t>7.劳务要求：乙方需根据产废企业要求，配备劳务人员做好危废打包整理工作，如需叉车配合亦需给予解决。如需劳务配合，劳务费用参照按6</w:t>
            </w:r>
            <w:r>
              <w:rPr>
                <w:rFonts w:ascii="仿宋_GB2312" w:hAnsi="仿宋_GB2312" w:eastAsia="仿宋_GB2312" w:cs="仿宋_GB2312"/>
                <w:bCs w:val="0"/>
                <w:sz w:val="24"/>
                <w:szCs w:val="24"/>
              </w:rPr>
              <w:t>00</w:t>
            </w:r>
            <w:r>
              <w:rPr>
                <w:rFonts w:hint="eastAsia" w:ascii="仿宋_GB2312" w:hAnsi="仿宋_GB2312" w:eastAsia="仿宋_GB2312" w:cs="仿宋_GB2312"/>
                <w:bCs w:val="0"/>
                <w:sz w:val="24"/>
                <w:szCs w:val="24"/>
              </w:rPr>
              <w:t>元/车次结算。（比选方有权根据实际情况对劳务费用进行调整）。</w:t>
            </w:r>
          </w:p>
          <w:p w14:paraId="30BCC2C9">
            <w:pPr>
              <w:pStyle w:val="246"/>
              <w:spacing w:beforeLines="0" w:afterLines="0" w:line="500" w:lineRule="exact"/>
              <w:ind w:firstLine="0" w:firstLineChars="0"/>
              <w:rPr>
                <w:rFonts w:hint="eastAsia" w:ascii="仿宋_GB2312" w:hAnsi="仿宋_GB2312" w:eastAsia="仿宋_GB2312" w:cs="仿宋_GB2312"/>
                <w:bCs w:val="0"/>
                <w:sz w:val="24"/>
                <w:szCs w:val="24"/>
              </w:rPr>
            </w:pPr>
            <w:r>
              <w:rPr>
                <w:rFonts w:hint="eastAsia" w:ascii="仿宋_GB2312" w:hAnsi="仿宋_GB2312" w:eastAsia="仿宋_GB2312" w:cs="仿宋_GB2312"/>
                <w:bCs w:val="0"/>
                <w:sz w:val="24"/>
                <w:szCs w:val="24"/>
              </w:rPr>
              <w:t>8.如需使用槽罐车，每车次补贴清洗罐体费用1500元（如不间断连续转运同类危废，按1车次计补费用）。</w:t>
            </w:r>
          </w:p>
          <w:p w14:paraId="29A52329">
            <w:pPr>
              <w:widowControl/>
              <w:spacing w:line="500" w:lineRule="exact"/>
              <w:jc w:val="left"/>
              <w:rPr>
                <w:rFonts w:hint="eastAsia" w:ascii="仿宋_GB2312" w:hAnsi="仿宋_GB2312" w:eastAsia="仿宋_GB2312" w:cs="仿宋_GB2312"/>
                <w:sz w:val="24"/>
              </w:rPr>
            </w:pPr>
            <w:r>
              <w:rPr>
                <w:rFonts w:hint="eastAsia" w:ascii="仿宋_GB2312" w:hAnsi="仿宋_GB2312" w:eastAsia="仿宋_GB2312" w:cs="仿宋_GB2312"/>
                <w:b/>
                <w:bCs/>
                <w:sz w:val="24"/>
                <w:u w:val="single"/>
              </w:rPr>
              <w:t>（上述事项合同未约定或约定不明的，以比选文件约定为准）</w:t>
            </w:r>
          </w:p>
        </w:tc>
      </w:tr>
    </w:tbl>
    <w:p w14:paraId="1C301B7F">
      <w:pPr>
        <w:tabs>
          <w:tab w:val="left" w:pos="1080"/>
        </w:tabs>
        <w:spacing w:beforeLines="25"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5.2 结算支付</w:t>
      </w:r>
    </w:p>
    <w:p w14:paraId="2CE053BC">
      <w:pPr>
        <w:tabs>
          <w:tab w:val="left" w:pos="1080"/>
        </w:tabs>
        <w:spacing w:beforeLines="25"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5.2.1 运费用按月结算。每月15日前，乙方应向甲方提交上月运费的结算资料（危险废物运输单等）。甲方对乙方的结算资料进行审核后确定应付运输服务费用。乙方所有的结算资料（包括甲方实际应付款金额确定后乙方开具的发票）需送至甲方指定的下列地址及接收人： </w:t>
      </w:r>
    </w:p>
    <w:p w14:paraId="4CC54C6E">
      <w:pPr>
        <w:tabs>
          <w:tab w:val="left" w:pos="1080"/>
        </w:tabs>
        <w:spacing w:beforeLines="25" w:line="400" w:lineRule="exact"/>
        <w:ind w:firstLine="480" w:firstLineChars="200"/>
        <w:rPr>
          <w:rFonts w:hint="eastAsia" w:ascii="仿宋_GB2312" w:hAnsi="仿宋_GB2312" w:eastAsia="仿宋_GB2312" w:cs="仿宋_GB2312"/>
          <w:sz w:val="24"/>
          <w:u w:val="single"/>
        </w:rPr>
      </w:pPr>
      <w:r>
        <w:rPr>
          <w:rFonts w:hint="eastAsia" w:ascii="仿宋_GB2312" w:hAnsi="仿宋_GB2312" w:eastAsia="仿宋_GB2312" w:cs="仿宋_GB2312"/>
          <w:sz w:val="24"/>
        </w:rPr>
        <w:t>地址：</w:t>
      </w:r>
      <w:r>
        <w:rPr>
          <w:rFonts w:hint="eastAsia" w:ascii="仿宋_GB2312" w:hAnsi="仿宋_GB2312" w:eastAsia="仿宋_GB2312" w:cs="仿宋_GB2312"/>
          <w:b/>
          <w:bCs/>
          <w:sz w:val="24"/>
        </w:rPr>
        <w:t>[ ]</w:t>
      </w:r>
    </w:p>
    <w:p w14:paraId="69EFF735">
      <w:pPr>
        <w:tabs>
          <w:tab w:val="left" w:pos="1080"/>
        </w:tabs>
        <w:spacing w:beforeLines="25" w:line="400" w:lineRule="exact"/>
        <w:ind w:firstLine="480" w:firstLineChars="200"/>
        <w:rPr>
          <w:rFonts w:hint="eastAsia" w:ascii="仿宋_GB2312" w:hAnsi="仿宋_GB2312" w:eastAsia="仿宋_GB2312" w:cs="仿宋_GB2312"/>
          <w:sz w:val="24"/>
          <w:u w:val="single"/>
        </w:rPr>
      </w:pPr>
      <w:r>
        <w:rPr>
          <w:rFonts w:hint="eastAsia" w:ascii="仿宋_GB2312" w:hAnsi="仿宋_GB2312" w:eastAsia="仿宋_GB2312" w:cs="仿宋_GB2312"/>
          <w:sz w:val="24"/>
        </w:rPr>
        <w:t>接收人：</w:t>
      </w:r>
      <w:r>
        <w:rPr>
          <w:rFonts w:hint="eastAsia" w:ascii="仿宋_GB2312" w:hAnsi="仿宋_GB2312" w:eastAsia="仿宋_GB2312" w:cs="仿宋_GB2312"/>
          <w:b/>
          <w:bCs/>
          <w:sz w:val="24"/>
        </w:rPr>
        <w:t>[ ]</w:t>
      </w:r>
    </w:p>
    <w:p w14:paraId="387E0861">
      <w:pPr>
        <w:tabs>
          <w:tab w:val="left" w:pos="1080"/>
        </w:tabs>
        <w:spacing w:beforeLines="25"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5.2.2 甲方实际应付款金额确定后，乙方按照甲方的要求开具相应金额的正式税务发票。甲方收到乙方发票后7个工作日内向乙方付款。乙方未提供发票的，甲方有权拒绝付款。乙方指定收款账户如下：</w:t>
      </w:r>
    </w:p>
    <w:p w14:paraId="56CDFF44">
      <w:pPr>
        <w:tabs>
          <w:tab w:val="left" w:pos="1080"/>
        </w:tabs>
        <w:spacing w:beforeLines="25"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户名：</w:t>
      </w:r>
      <w:r>
        <w:rPr>
          <w:rFonts w:hint="eastAsia" w:ascii="仿宋_GB2312" w:hAnsi="仿宋_GB2312" w:eastAsia="仿宋_GB2312" w:cs="仿宋_GB2312"/>
          <w:b/>
          <w:bCs/>
          <w:sz w:val="24"/>
        </w:rPr>
        <w:t>[ ]</w:t>
      </w:r>
    </w:p>
    <w:p w14:paraId="25382243">
      <w:pPr>
        <w:tabs>
          <w:tab w:val="left" w:pos="1080"/>
        </w:tabs>
        <w:spacing w:beforeLines="25"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开户行：</w:t>
      </w:r>
      <w:r>
        <w:rPr>
          <w:rFonts w:hint="eastAsia" w:ascii="仿宋_GB2312" w:hAnsi="仿宋_GB2312" w:eastAsia="仿宋_GB2312" w:cs="仿宋_GB2312"/>
          <w:b/>
          <w:bCs/>
          <w:sz w:val="24"/>
        </w:rPr>
        <w:t>[ ]</w:t>
      </w:r>
    </w:p>
    <w:p w14:paraId="75258D13">
      <w:pPr>
        <w:tabs>
          <w:tab w:val="left" w:pos="1080"/>
        </w:tabs>
        <w:spacing w:beforeLines="25"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账号：</w:t>
      </w:r>
      <w:r>
        <w:rPr>
          <w:rFonts w:hint="eastAsia" w:ascii="仿宋_GB2312" w:hAnsi="仿宋_GB2312" w:eastAsia="仿宋_GB2312" w:cs="仿宋_GB2312"/>
          <w:b/>
          <w:bCs/>
          <w:sz w:val="24"/>
        </w:rPr>
        <w:t>[ ]</w:t>
      </w:r>
    </w:p>
    <w:p w14:paraId="4D8DD62B">
      <w:pPr>
        <w:tabs>
          <w:tab w:val="left" w:pos="1080"/>
        </w:tabs>
        <w:spacing w:beforeLines="25"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5.2.3 甲方的付款，不限制甲方在随后时间对已开具发票的费用提出争议或对乙方不符合合同约定的运输行为进行索赔的权利，且付款亦不构成甲方对乙方承运服务的最终认可。</w:t>
      </w:r>
    </w:p>
    <w:p w14:paraId="38F7CB1D">
      <w:pPr>
        <w:tabs>
          <w:tab w:val="left" w:pos="1080"/>
        </w:tabs>
        <w:spacing w:beforeLines="25" w:line="400" w:lineRule="exact"/>
        <w:rPr>
          <w:rFonts w:hint="eastAsia" w:ascii="黑体" w:hAnsi="黑体" w:eastAsia="黑体" w:cs="黑体"/>
          <w:bCs/>
          <w:sz w:val="24"/>
        </w:rPr>
      </w:pPr>
      <w:r>
        <w:rPr>
          <w:rFonts w:hint="eastAsia" w:ascii="黑体" w:hAnsi="黑体" w:eastAsia="黑体" w:cs="黑体"/>
          <w:bCs/>
          <w:sz w:val="24"/>
        </w:rPr>
        <w:t>第6条</w:t>
      </w:r>
      <w:r>
        <w:rPr>
          <w:rFonts w:hint="eastAsia" w:ascii="黑体" w:hAnsi="黑体" w:eastAsia="黑体" w:cs="黑体"/>
          <w:bCs/>
          <w:sz w:val="24"/>
        </w:rPr>
        <w:tab/>
      </w:r>
      <w:r>
        <w:rPr>
          <w:rFonts w:hint="eastAsia" w:ascii="黑体" w:hAnsi="黑体" w:eastAsia="黑体" w:cs="黑体"/>
          <w:bCs/>
          <w:sz w:val="24"/>
        </w:rPr>
        <w:t>双方权利义务</w:t>
      </w:r>
    </w:p>
    <w:p w14:paraId="09169647">
      <w:pPr>
        <w:widowControl/>
        <w:spacing w:beforeLines="25"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6.1 甲方权利义务</w:t>
      </w:r>
    </w:p>
    <w:p w14:paraId="03274955">
      <w:pPr>
        <w:widowControl/>
        <w:spacing w:beforeLines="25"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6.1.1 甲方有权对乙方履行本合同的情况进行监督检查，若发现乙方的履行不符合合同约定，可以发出书面通知要求乙方更正，乙方应按甲方通知中的更正要求，在规定期限就其服务的缺陷进行补救、重作。</w:t>
      </w:r>
    </w:p>
    <w:p w14:paraId="6907B18B">
      <w:pPr>
        <w:widowControl/>
        <w:spacing w:beforeLines="25"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6.1.2 甲方应按照合同约定支付运输服务费。</w:t>
      </w:r>
    </w:p>
    <w:p w14:paraId="73E3E20A">
      <w:pPr>
        <w:widowControl/>
        <w:spacing w:beforeLines="25" w:line="40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6.2 乙方权利义务</w:t>
      </w:r>
    </w:p>
    <w:p w14:paraId="3F32AA15">
      <w:pPr>
        <w:widowControl/>
        <w:spacing w:beforeLines="25" w:line="40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6.2.1 乙方有权按照本合同约定获得相应的运输服务费用。</w:t>
      </w:r>
    </w:p>
    <w:p w14:paraId="00E7B1C2">
      <w:pPr>
        <w:widowControl/>
        <w:spacing w:beforeLines="25" w:line="40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6.2.2 乙方保证有权签署本合同，并保证已具备履行合同的合法资质、经验和能力，包括但不限于有足够的具备资质的从业人员，以谨慎、称职和专业的态度完成本合同项下的义务等。如因乙方及其指派从业人员的资质问题引发政府主管部门的查处或造成甲方损失的，相关责任由乙方承担。</w:t>
      </w:r>
    </w:p>
    <w:p w14:paraId="3162C19A">
      <w:pPr>
        <w:widowControl/>
        <w:spacing w:beforeLines="25" w:line="40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6.2.3 乙方应按照双方约定的运输服务标准及操作要求提供服务。如果乙方提供的运输服务存在任何缺陷，乙方应立即主动采取或者经甲方通知后立即采取一切有效措施进行更正或补救。</w:t>
      </w:r>
    </w:p>
    <w:p w14:paraId="1946B3E5">
      <w:pPr>
        <w:widowControl/>
        <w:spacing w:beforeLines="25" w:line="40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6.2.4 乙方提供服务过程中，应当遵守法律法规规定以及危险货物移出方、甲方厂区与生产作业有关的规章制度。</w:t>
      </w:r>
    </w:p>
    <w:p w14:paraId="30DF9F77">
      <w:pPr>
        <w:widowControl/>
        <w:spacing w:beforeLines="25" w:line="40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6.2.5 本合同履行过程中，因可归责于乙方的原因造成甲方或第三方人身、财产损害的，乙方承担赔偿责任。</w:t>
      </w:r>
    </w:p>
    <w:p w14:paraId="66C21964">
      <w:pPr>
        <w:spacing w:beforeLines="25" w:line="400" w:lineRule="exact"/>
        <w:ind w:firstLine="420"/>
        <w:rPr>
          <w:rFonts w:hint="eastAsia" w:ascii="仿宋_GB2312" w:hAnsi="仿宋_GB2312" w:eastAsia="仿宋_GB2312" w:cs="仿宋_GB2312"/>
          <w:sz w:val="24"/>
        </w:rPr>
      </w:pPr>
      <w:r>
        <w:rPr>
          <w:rFonts w:hint="eastAsia" w:ascii="仿宋_GB2312" w:hAnsi="仿宋_GB2312" w:eastAsia="仿宋_GB2312" w:cs="仿宋_GB2312"/>
          <w:sz w:val="24"/>
        </w:rPr>
        <w:t>6.2.6 本合同履行过程中，因危险货物丢失、包装破损、泄露等造成突发环境事件，引发政府主管部门的查处或造成甲方、第三方人身、财产损失的，乙方承担赔偿责任。</w:t>
      </w:r>
    </w:p>
    <w:p w14:paraId="2DDDB1A4">
      <w:pPr>
        <w:tabs>
          <w:tab w:val="left" w:pos="1080"/>
        </w:tabs>
        <w:spacing w:beforeLines="25" w:line="400" w:lineRule="exact"/>
        <w:rPr>
          <w:rFonts w:hint="eastAsia" w:ascii="黑体" w:hAnsi="黑体" w:eastAsia="黑体" w:cs="黑体"/>
          <w:bCs/>
          <w:sz w:val="24"/>
        </w:rPr>
      </w:pPr>
      <w:r>
        <w:rPr>
          <w:rFonts w:hint="eastAsia" w:ascii="黑体" w:hAnsi="黑体" w:eastAsia="黑体" w:cs="黑体"/>
          <w:bCs/>
          <w:sz w:val="24"/>
        </w:rPr>
        <w:t>第7条</w:t>
      </w:r>
      <w:r>
        <w:rPr>
          <w:rFonts w:hint="eastAsia" w:ascii="黑体" w:hAnsi="黑体" w:eastAsia="黑体" w:cs="黑体"/>
          <w:bCs/>
          <w:sz w:val="24"/>
        </w:rPr>
        <w:tab/>
      </w:r>
      <w:r>
        <w:rPr>
          <w:rFonts w:hint="eastAsia" w:ascii="黑体" w:hAnsi="黑体" w:eastAsia="黑体" w:cs="黑体"/>
          <w:bCs/>
          <w:sz w:val="24"/>
        </w:rPr>
        <w:t>劳动关系</w:t>
      </w:r>
    </w:p>
    <w:p w14:paraId="1E41CCF0">
      <w:pPr>
        <w:widowControl/>
        <w:spacing w:beforeLines="25" w:line="400" w:lineRule="exact"/>
        <w:ind w:firstLine="482" w:firstLineChars="200"/>
        <w:jc w:val="left"/>
        <w:rPr>
          <w:rFonts w:hint="eastAsia" w:ascii="仿宋_GB2312" w:hAnsi="仿宋_GB2312" w:eastAsia="仿宋_GB2312" w:cs="仿宋_GB2312"/>
          <w:sz w:val="24"/>
        </w:rPr>
      </w:pPr>
      <w:r>
        <w:rPr>
          <w:rFonts w:hint="eastAsia" w:ascii="仿宋_GB2312" w:hAnsi="仿宋_GB2312" w:eastAsia="仿宋_GB2312" w:cs="仿宋_GB2312"/>
          <w:b/>
          <w:bCs/>
          <w:sz w:val="24"/>
          <w:u w:val="thick"/>
          <w:shd w:val="clear" w:color="auto" w:fill="FFFFFF"/>
        </w:rPr>
        <w:t>7.1 甲方与乙方工作人员（含劳务及雇佣人员，下同）之间不存在劳动关系、劳务关系或其他雇佣关系</w:t>
      </w:r>
      <w:r>
        <w:rPr>
          <w:rFonts w:hint="eastAsia" w:ascii="仿宋_GB2312" w:hAnsi="仿宋_GB2312" w:eastAsia="仿宋_GB2312" w:cs="仿宋_GB2312"/>
          <w:sz w:val="24"/>
        </w:rPr>
        <w:t>。乙方工作人员以劳动关系、劳务关系或其他雇佣关系为由向甲方主张权利的，均由乙方负责处理并承担相应责任。</w:t>
      </w:r>
    </w:p>
    <w:p w14:paraId="74AD1E58">
      <w:pPr>
        <w:widowControl/>
        <w:spacing w:beforeLines="25" w:line="40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7.2 乙方工作人员在承运服务期间发生的或与履行本合同相关的任何人身伤害、财产损失等，均与甲方无关，所有责任及相关费用由乙方自行承担。</w:t>
      </w:r>
    </w:p>
    <w:p w14:paraId="3F7F4CF5">
      <w:pPr>
        <w:widowControl/>
        <w:spacing w:beforeLines="25" w:line="40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7.3 如甲方因本合同的履行而被政府主管部门或者裁判机关判令需向乙方从业人员承担补偿、赔偿或其他责任的，甲方有权要求乙方承担或向乙方追偿，并有权直接先行扣除履约保证金或合同项下金额用于承担此等责任。</w:t>
      </w:r>
    </w:p>
    <w:p w14:paraId="3D61A441">
      <w:pPr>
        <w:tabs>
          <w:tab w:val="left" w:pos="1080"/>
        </w:tabs>
        <w:spacing w:beforeLines="25" w:line="400" w:lineRule="exact"/>
        <w:rPr>
          <w:rFonts w:hint="eastAsia" w:ascii="黑体" w:hAnsi="黑体" w:eastAsia="黑体" w:cs="黑体"/>
          <w:bCs/>
          <w:sz w:val="24"/>
        </w:rPr>
      </w:pPr>
      <w:r>
        <w:rPr>
          <w:rFonts w:hint="eastAsia" w:ascii="黑体" w:hAnsi="黑体" w:eastAsia="黑体" w:cs="黑体"/>
          <w:bCs/>
          <w:sz w:val="24"/>
        </w:rPr>
        <w:t>第8条</w:t>
      </w:r>
      <w:r>
        <w:rPr>
          <w:rFonts w:hint="eastAsia" w:ascii="黑体" w:hAnsi="黑体" w:eastAsia="黑体" w:cs="黑体"/>
          <w:bCs/>
          <w:sz w:val="24"/>
        </w:rPr>
        <w:tab/>
      </w:r>
      <w:r>
        <w:rPr>
          <w:rFonts w:hint="eastAsia" w:ascii="黑体" w:hAnsi="黑体" w:eastAsia="黑体" w:cs="黑体"/>
          <w:bCs/>
          <w:sz w:val="24"/>
        </w:rPr>
        <w:t>安全条款</w:t>
      </w:r>
    </w:p>
    <w:p w14:paraId="31843C1C">
      <w:pPr>
        <w:tabs>
          <w:tab w:val="left" w:pos="1080"/>
        </w:tabs>
        <w:spacing w:beforeLines="25"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8.1 在危险货物的运输过程中（包括从起点危险货物移出方处装车起至终点甲方指定区域卸车完毕为止）乙方工作人员应遵守危险货物移出方及甲方规章制度以及现场作业相关规定，严格按照操作规程开展作业。</w:t>
      </w:r>
      <w:r>
        <w:rPr>
          <w:rFonts w:hint="eastAsia" w:ascii="仿宋_GB2312" w:hAnsi="仿宋_GB2312" w:eastAsia="仿宋_GB2312" w:cs="仿宋_GB2312"/>
          <w:bCs/>
          <w:sz w:val="24"/>
        </w:rPr>
        <w:t>甲方与</w:t>
      </w:r>
      <w:r>
        <w:rPr>
          <w:rFonts w:hint="eastAsia" w:ascii="仿宋_GB2312" w:hAnsi="仿宋_GB2312" w:eastAsia="仿宋_GB2312" w:cs="仿宋_GB2312"/>
          <w:sz w:val="24"/>
        </w:rPr>
        <w:t>危险货物移出方（</w:t>
      </w:r>
      <w:r>
        <w:rPr>
          <w:rFonts w:hint="eastAsia" w:ascii="仿宋_GB2312" w:hAnsi="仿宋_GB2312" w:eastAsia="仿宋_GB2312" w:cs="仿宋_GB2312"/>
          <w:bCs/>
          <w:sz w:val="24"/>
        </w:rPr>
        <w:t>产废企业</w:t>
      </w:r>
      <w:r>
        <w:rPr>
          <w:rFonts w:hint="eastAsia" w:ascii="仿宋_GB2312" w:hAnsi="仿宋_GB2312" w:eastAsia="仿宋_GB2312" w:cs="仿宋_GB2312"/>
          <w:sz w:val="24"/>
        </w:rPr>
        <w:t>）</w:t>
      </w:r>
      <w:r>
        <w:rPr>
          <w:rFonts w:hint="eastAsia" w:ascii="仿宋_GB2312" w:hAnsi="仿宋_GB2312" w:eastAsia="仿宋_GB2312" w:cs="仿宋_GB2312"/>
          <w:bCs/>
          <w:sz w:val="24"/>
        </w:rPr>
        <w:t>之间签订的《危化品安全管理协议》《承包商安全生产管理协议》《承揽商入厂健康承诺书》《环保协议书》等协议，对乙方同样适用（乙方应另行签订上述协议），即</w:t>
      </w:r>
      <w:r>
        <w:rPr>
          <w:rFonts w:hint="eastAsia" w:ascii="仿宋_GB2312" w:hAnsi="仿宋_GB2312" w:eastAsia="仿宋_GB2312" w:cs="仿宋_GB2312"/>
          <w:b/>
          <w:bCs/>
          <w:sz w:val="24"/>
          <w:u w:val="thick"/>
          <w:shd w:val="clear" w:color="auto" w:fill="FFFFFF"/>
        </w:rPr>
        <w:t>乙方应遵守甲方对危险货物移出方（产废企业）的所有义务，并承担相应责任</w:t>
      </w:r>
      <w:r>
        <w:rPr>
          <w:rFonts w:hint="eastAsia" w:ascii="仿宋_GB2312" w:hAnsi="仿宋_GB2312" w:eastAsia="仿宋_GB2312" w:cs="仿宋_GB2312"/>
          <w:bCs/>
          <w:sz w:val="24"/>
        </w:rPr>
        <w:t>。</w:t>
      </w:r>
    </w:p>
    <w:p w14:paraId="73462006">
      <w:pPr>
        <w:tabs>
          <w:tab w:val="left" w:pos="1080"/>
        </w:tabs>
        <w:spacing w:beforeLines="25"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8.2 乙方工作人员出入废物移出方及甲方厂区应遵守废物移出方及甲方的出入管理规定，不得无故进入与作业活动无关的区域。</w:t>
      </w:r>
    </w:p>
    <w:p w14:paraId="13D6EFA0">
      <w:pPr>
        <w:tabs>
          <w:tab w:val="left" w:pos="1080"/>
        </w:tabs>
        <w:spacing w:beforeLines="25"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8.3 乙方工作人员在废物移出方及甲方厂区，非因废物移出方及甲方原因造成的所有事故，由乙方承担全部责任，造成甲方或第三方损失的，乙方还应承担赔偿责任。</w:t>
      </w:r>
    </w:p>
    <w:p w14:paraId="6393991E">
      <w:pPr>
        <w:tabs>
          <w:tab w:val="left" w:pos="1080"/>
        </w:tabs>
        <w:spacing w:beforeLines="25"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bCs/>
          <w:sz w:val="24"/>
        </w:rPr>
        <w:t>8.4 乙方特别声明：</w:t>
      </w:r>
      <w:r>
        <w:rPr>
          <w:rFonts w:hint="eastAsia" w:ascii="仿宋_GB2312" w:hAnsi="仿宋_GB2312" w:eastAsia="仿宋_GB2312" w:cs="仿宋_GB2312"/>
          <w:sz w:val="24"/>
        </w:rPr>
        <w:t>作为专业运输服务单位，乙方在运输过程中，除按甲方要求和规定外，更必须积极主动地进行充分的危害识别和管控，落实相关防护措施和管理制度，确保不发生事故、违法违规事件、损失或处罚。因此，无论甲方是否提出相关要求和规定或进行监督检查等，均不代表甲方承诺对乙方的行为承担任何责任，更不因此构成对乙方所应承担的各项责任和义务的减轻或豁免。</w:t>
      </w:r>
    </w:p>
    <w:p w14:paraId="4CFF4371">
      <w:pPr>
        <w:tabs>
          <w:tab w:val="left" w:pos="1080"/>
        </w:tabs>
        <w:spacing w:beforeLines="25" w:line="400" w:lineRule="exact"/>
        <w:rPr>
          <w:rFonts w:hint="eastAsia" w:ascii="黑体" w:hAnsi="黑体" w:eastAsia="黑体" w:cs="黑体"/>
          <w:bCs/>
          <w:sz w:val="24"/>
        </w:rPr>
      </w:pPr>
      <w:r>
        <w:rPr>
          <w:rFonts w:hint="eastAsia" w:ascii="黑体" w:hAnsi="黑体" w:eastAsia="黑体" w:cs="黑体"/>
          <w:bCs/>
          <w:sz w:val="24"/>
        </w:rPr>
        <w:t>第9条</w:t>
      </w:r>
      <w:r>
        <w:rPr>
          <w:rFonts w:hint="eastAsia" w:ascii="黑体" w:hAnsi="黑体" w:eastAsia="黑体" w:cs="黑体"/>
          <w:bCs/>
          <w:sz w:val="24"/>
        </w:rPr>
        <w:tab/>
      </w:r>
      <w:r>
        <w:rPr>
          <w:rFonts w:hint="eastAsia" w:ascii="黑体" w:hAnsi="黑体" w:eastAsia="黑体" w:cs="黑体"/>
          <w:bCs/>
          <w:sz w:val="24"/>
        </w:rPr>
        <w:t>保密承诺</w:t>
      </w:r>
    </w:p>
    <w:p w14:paraId="2ED52C42">
      <w:pPr>
        <w:spacing w:beforeLines="25" w:line="400" w:lineRule="exact"/>
        <w:ind w:firstLine="470" w:firstLineChars="196"/>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9.1 乙方对甲方直接或间接提供给乙方、或由乙方基于合同进行运输服务而从甲方获取的所有商业和技术资料，包括但不局限于运输处置价格、运输费用结算方式、废物种类及组分、产废企业信息等，均应作为保密资料。乙方应对保密资料承担保密责任；未经甲方事先书面批准，乙方不得对外披露、使用于除履行本合同之外的目的。</w:t>
      </w:r>
    </w:p>
    <w:p w14:paraId="446B4718">
      <w:pPr>
        <w:spacing w:beforeLines="25" w:line="400" w:lineRule="exact"/>
        <w:ind w:firstLine="470" w:firstLineChars="196"/>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9.2合同终止或解除后，乙方应立即向甲方返还或者销毁所有上述含甲方保密信息的资料。乙方应在合同终止或解除后5日内向甲方书面确认已销毁或返还所有含甲方保密信息的资料。</w:t>
      </w:r>
    </w:p>
    <w:p w14:paraId="7B4C7965">
      <w:pPr>
        <w:spacing w:beforeLines="25" w:line="40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sz w:val="24"/>
        </w:rPr>
        <w:t>9.3</w:t>
      </w:r>
      <w:r>
        <w:rPr>
          <w:rFonts w:hint="eastAsia" w:ascii="仿宋_GB2312" w:hAnsi="仿宋_GB2312" w:eastAsia="仿宋_GB2312" w:cs="仿宋_GB2312"/>
          <w:kern w:val="0"/>
          <w:sz w:val="24"/>
        </w:rPr>
        <w:t xml:space="preserve"> 乙方违反保密承诺的，甲方有权要求乙方支付违约金人民币5万元并赔偿由此给甲方造成的损失。</w:t>
      </w:r>
    </w:p>
    <w:p w14:paraId="2041EA3B">
      <w:pPr>
        <w:spacing w:beforeLines="25" w:line="400" w:lineRule="exact"/>
        <w:ind w:firstLine="480" w:firstLineChars="200"/>
        <w:rPr>
          <w:rFonts w:hint="eastAsia" w:ascii="仿宋_GB2312" w:hAnsi="仿宋_GB2312" w:eastAsia="仿宋_GB2312" w:cs="仿宋_GB2312"/>
          <w:b/>
          <w:sz w:val="24"/>
        </w:rPr>
      </w:pPr>
      <w:r>
        <w:rPr>
          <w:rFonts w:hint="eastAsia" w:ascii="仿宋_GB2312" w:hAnsi="仿宋_GB2312" w:eastAsia="仿宋_GB2312" w:cs="仿宋_GB2312"/>
          <w:sz w:val="24"/>
        </w:rPr>
        <w:t>9.4 本条关于乙方保密承诺的相关约定，同时适用于乙方工作人员，乙方应对其工作人员的违反保密承诺的行为承担连带责任。</w:t>
      </w:r>
    </w:p>
    <w:p w14:paraId="7E949B12">
      <w:pPr>
        <w:tabs>
          <w:tab w:val="left" w:pos="1080"/>
        </w:tabs>
        <w:spacing w:beforeLines="25" w:line="400" w:lineRule="exact"/>
        <w:rPr>
          <w:rFonts w:hint="eastAsia" w:ascii="黑体" w:hAnsi="黑体" w:eastAsia="黑体" w:cs="黑体"/>
          <w:bCs/>
          <w:sz w:val="24"/>
        </w:rPr>
      </w:pPr>
      <w:r>
        <w:rPr>
          <w:rFonts w:hint="eastAsia" w:ascii="黑体" w:hAnsi="黑体" w:eastAsia="黑体" w:cs="黑体"/>
          <w:bCs/>
          <w:sz w:val="24"/>
        </w:rPr>
        <w:t>第10条</w:t>
      </w:r>
      <w:r>
        <w:rPr>
          <w:rFonts w:hint="eastAsia" w:ascii="黑体" w:hAnsi="黑体" w:eastAsia="黑体" w:cs="黑体"/>
          <w:bCs/>
          <w:sz w:val="24"/>
        </w:rPr>
        <w:tab/>
      </w:r>
      <w:r>
        <w:rPr>
          <w:rFonts w:hint="eastAsia" w:ascii="黑体" w:hAnsi="黑体" w:eastAsia="黑体" w:cs="黑体"/>
          <w:bCs/>
          <w:sz w:val="24"/>
        </w:rPr>
        <w:t>合同转让和分包、转包</w:t>
      </w:r>
    </w:p>
    <w:p w14:paraId="7CCEF641">
      <w:pPr>
        <w:widowControl/>
        <w:spacing w:beforeLines="25" w:line="40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10.1 未经甲方事前书面批准，乙方不得转让本合同项下的全部或者部分义务，也不得将本合同项下的运输任务与第三方进行任何形式的合作，否则甲方有权解除合同并要求乙方赔偿损失等。</w:t>
      </w:r>
    </w:p>
    <w:p w14:paraId="7F766F79">
      <w:pPr>
        <w:widowControl/>
        <w:spacing w:beforeLines="25" w:line="400" w:lineRule="exact"/>
        <w:ind w:firstLine="480" w:firstLineChars="200"/>
        <w:jc w:val="left"/>
        <w:rPr>
          <w:rFonts w:hint="eastAsia" w:ascii="仿宋_GB2312" w:hAnsi="仿宋_GB2312" w:eastAsia="仿宋_GB2312" w:cs="仿宋_GB2312"/>
          <w:b/>
          <w:sz w:val="24"/>
        </w:rPr>
      </w:pPr>
      <w:r>
        <w:rPr>
          <w:rFonts w:hint="eastAsia" w:ascii="仿宋_GB2312" w:hAnsi="仿宋_GB2312" w:eastAsia="仿宋_GB2312" w:cs="仿宋_GB2312"/>
          <w:sz w:val="24"/>
        </w:rPr>
        <w:t>10.2 如乙方经甲方同意而实施前述对第三方的转让、分包或转包等行为的，乙方仍应对第三方的履行行为承担连带责任。</w:t>
      </w:r>
    </w:p>
    <w:p w14:paraId="46312F33">
      <w:pPr>
        <w:tabs>
          <w:tab w:val="left" w:pos="1080"/>
        </w:tabs>
        <w:spacing w:beforeLines="25" w:line="400" w:lineRule="exact"/>
        <w:rPr>
          <w:rFonts w:hint="eastAsia" w:ascii="黑体" w:hAnsi="黑体" w:eastAsia="黑体" w:cs="黑体"/>
          <w:bCs/>
          <w:sz w:val="24"/>
        </w:rPr>
      </w:pPr>
      <w:r>
        <w:rPr>
          <w:rFonts w:hint="eastAsia" w:ascii="黑体" w:hAnsi="黑体" w:eastAsia="黑体" w:cs="黑体"/>
          <w:bCs/>
          <w:sz w:val="24"/>
        </w:rPr>
        <w:t>第11条</w:t>
      </w:r>
      <w:r>
        <w:rPr>
          <w:rFonts w:hint="eastAsia" w:ascii="黑体" w:hAnsi="黑体" w:eastAsia="黑体" w:cs="黑体"/>
          <w:bCs/>
          <w:sz w:val="24"/>
        </w:rPr>
        <w:tab/>
      </w:r>
      <w:r>
        <w:rPr>
          <w:rFonts w:hint="eastAsia" w:ascii="黑体" w:hAnsi="黑体" w:eastAsia="黑体" w:cs="黑体"/>
          <w:bCs/>
          <w:sz w:val="24"/>
        </w:rPr>
        <w:t>合同变更</w:t>
      </w:r>
    </w:p>
    <w:p w14:paraId="0ABE97B8">
      <w:pPr>
        <w:widowControl/>
        <w:spacing w:beforeLines="25" w:line="40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11.1 本合同所指的“变更”是指对运输服务内容、完成运输服务的方法或进度表的修改、修订，或者其他对本合同的实质性修改。</w:t>
      </w:r>
    </w:p>
    <w:p w14:paraId="2C19235A">
      <w:pPr>
        <w:widowControl/>
        <w:spacing w:beforeLines="25" w:line="40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11.2 甲方有权根据实际需求，变更合同约定的运输服务，包括但不限于：</w:t>
      </w:r>
    </w:p>
    <w:p w14:paraId="65407C33">
      <w:pPr>
        <w:widowControl/>
        <w:spacing w:beforeLines="25" w:line="400" w:lineRule="exact"/>
        <w:ind w:firstLine="360" w:firstLineChars="150"/>
        <w:jc w:val="left"/>
        <w:rPr>
          <w:rFonts w:hint="eastAsia" w:ascii="仿宋_GB2312" w:hAnsi="仿宋_GB2312" w:eastAsia="仿宋_GB2312" w:cs="仿宋_GB2312"/>
          <w:sz w:val="24"/>
        </w:rPr>
      </w:pPr>
      <w:r>
        <w:rPr>
          <w:rFonts w:hint="eastAsia" w:ascii="仿宋_GB2312" w:hAnsi="仿宋_GB2312" w:eastAsia="仿宋_GB2312" w:cs="仿宋_GB2312"/>
          <w:sz w:val="24"/>
        </w:rPr>
        <w:t>（1）运输服务费用相应调整。</w:t>
      </w:r>
    </w:p>
    <w:p w14:paraId="13AE3A23">
      <w:pPr>
        <w:widowControl/>
        <w:spacing w:beforeLines="25" w:line="400" w:lineRule="exact"/>
        <w:ind w:firstLine="360" w:firstLineChars="150"/>
        <w:jc w:val="left"/>
        <w:rPr>
          <w:rFonts w:hint="eastAsia" w:ascii="仿宋_GB2312" w:hAnsi="仿宋_GB2312" w:eastAsia="仿宋_GB2312" w:cs="仿宋_GB2312"/>
          <w:sz w:val="24"/>
        </w:rPr>
      </w:pPr>
      <w:r>
        <w:rPr>
          <w:rFonts w:hint="eastAsia" w:ascii="仿宋_GB2312" w:hAnsi="仿宋_GB2312" w:eastAsia="仿宋_GB2312" w:cs="仿宋_GB2312"/>
          <w:sz w:val="24"/>
        </w:rPr>
        <w:t>（2）对合同条款或除此之外甲方提供给乙方的有关资料的解释作最终确定，以及对该等资料中不够明确的地方作最终确定。</w:t>
      </w:r>
    </w:p>
    <w:p w14:paraId="3704516B">
      <w:pPr>
        <w:widowControl/>
        <w:spacing w:beforeLines="25" w:line="400" w:lineRule="exact"/>
        <w:ind w:firstLine="480" w:firstLineChars="200"/>
        <w:jc w:val="left"/>
        <w:rPr>
          <w:rFonts w:hint="eastAsia" w:ascii="仿宋_GB2312" w:hAnsi="仿宋_GB2312" w:eastAsia="仿宋_GB2312" w:cs="仿宋_GB2312"/>
          <w:b/>
          <w:sz w:val="24"/>
        </w:rPr>
      </w:pPr>
      <w:r>
        <w:rPr>
          <w:rFonts w:hint="eastAsia" w:ascii="仿宋_GB2312" w:hAnsi="仿宋_GB2312" w:eastAsia="仿宋_GB2312" w:cs="仿宋_GB2312"/>
          <w:sz w:val="24"/>
        </w:rPr>
        <w:t>11.3乙方收到甲方发出的变更通知后，应立即变更有关的运输服务。</w:t>
      </w:r>
    </w:p>
    <w:p w14:paraId="7B3AD899">
      <w:pPr>
        <w:tabs>
          <w:tab w:val="left" w:pos="1080"/>
        </w:tabs>
        <w:spacing w:beforeLines="25" w:line="400" w:lineRule="exact"/>
        <w:rPr>
          <w:rFonts w:hint="eastAsia" w:ascii="黑体" w:hAnsi="黑体" w:eastAsia="黑体" w:cs="黑体"/>
          <w:bCs/>
          <w:sz w:val="24"/>
        </w:rPr>
      </w:pPr>
      <w:r>
        <w:rPr>
          <w:rFonts w:hint="eastAsia" w:ascii="黑体" w:hAnsi="黑体" w:eastAsia="黑体" w:cs="黑体"/>
          <w:bCs/>
          <w:sz w:val="24"/>
        </w:rPr>
        <w:t>第12条</w:t>
      </w:r>
      <w:r>
        <w:rPr>
          <w:rFonts w:hint="eastAsia" w:ascii="黑体" w:hAnsi="黑体" w:eastAsia="黑体" w:cs="黑体"/>
          <w:bCs/>
          <w:sz w:val="24"/>
        </w:rPr>
        <w:tab/>
      </w:r>
      <w:r>
        <w:rPr>
          <w:rFonts w:hint="eastAsia" w:ascii="黑体" w:hAnsi="黑体" w:eastAsia="黑体" w:cs="黑体"/>
          <w:bCs/>
          <w:sz w:val="24"/>
        </w:rPr>
        <w:t>违约责任</w:t>
      </w:r>
    </w:p>
    <w:p w14:paraId="549D91B6">
      <w:pPr>
        <w:widowControl/>
        <w:spacing w:beforeLines="25" w:line="40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12.1 乙方违约的，甲方有权依据自身对乙方违约程度的判断，决定是否解除本合同。因乙方违约导致合同被解除的，甲方有权拒绝支付应付款项并要求乙方赔偿损失等。</w:t>
      </w:r>
    </w:p>
    <w:p w14:paraId="30C86E54">
      <w:pPr>
        <w:tabs>
          <w:tab w:val="left" w:pos="1080"/>
        </w:tabs>
        <w:spacing w:beforeLines="25"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12.2 因可归责于乙方的原因，乙方未能依约完成运输任务的，甲方除暂缓支付相应运输服务费，还有权选择按当月应付运输服务费总额的5%收取违约金或按当月应付运输服务费总额的每日5%收取违约金直至乙方完成运输任务之日。同时，乙方应按甲方要求进行整改并自行承担费用。因乙方违约给甲方造成的其他损失超过违约金数额的，乙方还应承担赔偿责任。</w:t>
      </w:r>
    </w:p>
    <w:p w14:paraId="139073B5">
      <w:pPr>
        <w:tabs>
          <w:tab w:val="left" w:pos="1080"/>
        </w:tabs>
        <w:spacing w:beforeLines="25"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12.3 乙方提前解除本合同的，甲方有权拒绝支付应付款项并要求乙方支付合同金额30%的违约金。合同金额按照合同已结算月份的最高月份金额*12个月计算。</w:t>
      </w:r>
    </w:p>
    <w:p w14:paraId="66E45416">
      <w:pPr>
        <w:tabs>
          <w:tab w:val="left" w:pos="1080"/>
        </w:tabs>
        <w:spacing w:beforeLines="25"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12.5 甲方未按照约定向乙方支付费用的，按照银行同期贷款基准利率标准向乙方支付利息。</w:t>
      </w:r>
    </w:p>
    <w:p w14:paraId="3DBBC1A5">
      <w:pPr>
        <w:tabs>
          <w:tab w:val="left" w:pos="1080"/>
        </w:tabs>
        <w:spacing w:beforeLines="25" w:line="400" w:lineRule="exact"/>
        <w:rPr>
          <w:rFonts w:hint="eastAsia" w:ascii="黑体" w:hAnsi="黑体" w:eastAsia="黑体" w:cs="黑体"/>
          <w:bCs/>
          <w:sz w:val="24"/>
        </w:rPr>
      </w:pPr>
      <w:r>
        <w:rPr>
          <w:rFonts w:hint="eastAsia" w:ascii="黑体" w:hAnsi="黑体" w:eastAsia="黑体" w:cs="黑体"/>
          <w:bCs/>
          <w:sz w:val="24"/>
        </w:rPr>
        <w:t>第13条</w:t>
      </w:r>
      <w:r>
        <w:rPr>
          <w:rFonts w:hint="eastAsia" w:ascii="黑体" w:hAnsi="黑体" w:eastAsia="黑体" w:cs="黑体"/>
          <w:bCs/>
          <w:sz w:val="24"/>
        </w:rPr>
        <w:tab/>
      </w:r>
      <w:r>
        <w:rPr>
          <w:rFonts w:hint="eastAsia" w:ascii="黑体" w:hAnsi="黑体" w:eastAsia="黑体" w:cs="黑体"/>
          <w:bCs/>
          <w:sz w:val="24"/>
        </w:rPr>
        <w:t>不可抗力</w:t>
      </w:r>
    </w:p>
    <w:p w14:paraId="7621AE29">
      <w:pPr>
        <w:tabs>
          <w:tab w:val="left" w:pos="1080"/>
        </w:tabs>
        <w:spacing w:beforeLines="25"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13.1 不可抗力是指双方不能预见、不能避免、无法克服的客观情况，包括但不限于地震、海啸、水灾、飓风、雷击或其它灾难；征用或没收设施；任何阻碍或严重限制前往服务地点或在服务地点实施服务的战争、敌对行动、暴乱、恐怖主义行动及民众骚乱。</w:t>
      </w:r>
    </w:p>
    <w:p w14:paraId="16BC113F">
      <w:pPr>
        <w:tabs>
          <w:tab w:val="left" w:pos="1080"/>
        </w:tabs>
        <w:spacing w:beforeLines="25"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13.2 因不可抗力事件导致本协议延迟履行或未能履行，根据不可抗力的影响程度，可以免除一方或双方的部分或全部责任。受不可抗力影响的一方在不可抗力情形发生后应立即书面通知合同对方并采取合理措施避免不可抗力影响的进一步扩大，否则对扩大损失部分不能免责。</w:t>
      </w:r>
    </w:p>
    <w:p w14:paraId="17F68E13">
      <w:pPr>
        <w:tabs>
          <w:tab w:val="left" w:pos="1080"/>
        </w:tabs>
        <w:spacing w:beforeLines="25" w:line="400" w:lineRule="exact"/>
        <w:ind w:firstLine="480" w:firstLineChars="200"/>
        <w:rPr>
          <w:rFonts w:hint="eastAsia" w:ascii="仿宋_GB2312" w:hAnsi="仿宋_GB2312" w:eastAsia="仿宋_GB2312" w:cs="仿宋_GB2312"/>
          <w:b/>
          <w:sz w:val="24"/>
        </w:rPr>
      </w:pPr>
      <w:r>
        <w:rPr>
          <w:rFonts w:hint="eastAsia" w:ascii="仿宋_GB2312" w:hAnsi="仿宋_GB2312" w:eastAsia="仿宋_GB2312" w:cs="仿宋_GB2312"/>
          <w:sz w:val="24"/>
        </w:rPr>
        <w:t>13.3 本协议运输服务费用不得因不可抗力事件而作任何上调。</w:t>
      </w:r>
    </w:p>
    <w:p w14:paraId="7F58798A">
      <w:pPr>
        <w:tabs>
          <w:tab w:val="left" w:pos="1080"/>
        </w:tabs>
        <w:spacing w:beforeLines="25" w:line="400" w:lineRule="exact"/>
        <w:rPr>
          <w:rFonts w:hint="eastAsia" w:ascii="黑体" w:hAnsi="黑体" w:eastAsia="黑体" w:cs="黑体"/>
          <w:bCs/>
          <w:sz w:val="24"/>
        </w:rPr>
      </w:pPr>
      <w:r>
        <w:rPr>
          <w:rFonts w:hint="eastAsia" w:ascii="黑体" w:hAnsi="黑体" w:eastAsia="黑体" w:cs="黑体"/>
          <w:bCs/>
          <w:sz w:val="24"/>
        </w:rPr>
        <w:t>第14条</w:t>
      </w:r>
      <w:r>
        <w:rPr>
          <w:rFonts w:hint="eastAsia" w:ascii="黑体" w:hAnsi="黑体" w:eastAsia="黑体" w:cs="黑体"/>
          <w:bCs/>
          <w:sz w:val="24"/>
        </w:rPr>
        <w:tab/>
      </w:r>
      <w:r>
        <w:rPr>
          <w:rFonts w:hint="eastAsia" w:ascii="黑体" w:hAnsi="黑体" w:eastAsia="黑体" w:cs="黑体"/>
          <w:bCs/>
          <w:sz w:val="24"/>
        </w:rPr>
        <w:t>通知</w:t>
      </w:r>
    </w:p>
    <w:p w14:paraId="560FD056">
      <w:pPr>
        <w:tabs>
          <w:tab w:val="left" w:pos="1080"/>
        </w:tabs>
        <w:spacing w:beforeLines="25"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14.1  双方重要文件往来应当以书面形式（含传真、电子邮件等）进行。如以特快专递方式送达至本合同下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466D29B6">
      <w:pPr>
        <w:pStyle w:val="18"/>
        <w:spacing w:beforeLines="25" w:line="400" w:lineRule="exact"/>
        <w:ind w:left="0" w:leftChars="0"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14.2 双方联系方式</w:t>
      </w:r>
    </w:p>
    <w:p w14:paraId="3283A6B0">
      <w:pPr>
        <w:rPr>
          <w:rFonts w:hint="eastAsia"/>
          <w:sz w:val="20"/>
          <w:szCs w:val="22"/>
        </w:rPr>
      </w:pPr>
    </w:p>
    <w:tbl>
      <w:tblPr>
        <w:tblStyle w:val="31"/>
        <w:tblW w:w="8702"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5"/>
        <w:gridCol w:w="2115"/>
        <w:gridCol w:w="2250"/>
        <w:gridCol w:w="2042"/>
      </w:tblGrid>
      <w:tr w14:paraId="3A730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tcBorders>
              <w:top w:val="single" w:color="auto" w:sz="4" w:space="0"/>
              <w:left w:val="single" w:color="auto" w:sz="4" w:space="0"/>
              <w:bottom w:val="single" w:color="auto" w:sz="4" w:space="0"/>
              <w:right w:val="single" w:color="auto" w:sz="4" w:space="0"/>
            </w:tcBorders>
            <w:vAlign w:val="center"/>
          </w:tcPr>
          <w:p w14:paraId="444B07DD">
            <w:pPr>
              <w:tabs>
                <w:tab w:val="left" w:pos="1080"/>
              </w:tabs>
              <w:spacing w:beforeLines="25"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甲方联系地址：</w:t>
            </w:r>
          </w:p>
        </w:tc>
        <w:tc>
          <w:tcPr>
            <w:tcW w:w="6407" w:type="dxa"/>
            <w:gridSpan w:val="3"/>
            <w:tcBorders>
              <w:top w:val="single" w:color="auto" w:sz="4" w:space="0"/>
              <w:left w:val="single" w:color="auto" w:sz="4" w:space="0"/>
              <w:bottom w:val="single" w:color="auto" w:sz="4" w:space="0"/>
              <w:right w:val="single" w:color="auto" w:sz="4" w:space="0"/>
            </w:tcBorders>
          </w:tcPr>
          <w:p w14:paraId="2B9F22C1">
            <w:pPr>
              <w:tabs>
                <w:tab w:val="left" w:pos="1080"/>
              </w:tabs>
              <w:spacing w:beforeLines="25" w:line="400" w:lineRule="exact"/>
              <w:rPr>
                <w:rFonts w:hint="eastAsia" w:ascii="仿宋_GB2312" w:hAnsi="仿宋_GB2312" w:eastAsia="仿宋_GB2312" w:cs="仿宋_GB2312"/>
                <w:sz w:val="24"/>
              </w:rPr>
            </w:pPr>
            <w:r>
              <w:rPr>
                <w:rFonts w:hint="eastAsia" w:ascii="仿宋_GB2312" w:hAnsi="仿宋_GB2312" w:eastAsia="仿宋_GB2312" w:cs="仿宋_GB2312"/>
                <w:b/>
                <w:bCs/>
                <w:sz w:val="24"/>
              </w:rPr>
              <w:t>[ ]</w:t>
            </w:r>
          </w:p>
        </w:tc>
      </w:tr>
      <w:tr w14:paraId="652BF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tcBorders>
              <w:top w:val="single" w:color="auto" w:sz="4" w:space="0"/>
              <w:left w:val="single" w:color="auto" w:sz="4" w:space="0"/>
              <w:bottom w:val="single" w:color="auto" w:sz="4" w:space="0"/>
              <w:right w:val="single" w:color="auto" w:sz="4" w:space="0"/>
            </w:tcBorders>
            <w:vAlign w:val="center"/>
          </w:tcPr>
          <w:p w14:paraId="3F04A4CC">
            <w:pPr>
              <w:tabs>
                <w:tab w:val="left" w:pos="1080"/>
              </w:tabs>
              <w:spacing w:beforeLines="25"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甲方联系人：</w:t>
            </w:r>
          </w:p>
        </w:tc>
        <w:tc>
          <w:tcPr>
            <w:tcW w:w="2115" w:type="dxa"/>
            <w:tcBorders>
              <w:top w:val="single" w:color="auto" w:sz="4" w:space="0"/>
              <w:left w:val="single" w:color="auto" w:sz="4" w:space="0"/>
              <w:bottom w:val="single" w:color="auto" w:sz="4" w:space="0"/>
              <w:right w:val="single" w:color="auto" w:sz="4" w:space="0"/>
            </w:tcBorders>
          </w:tcPr>
          <w:p w14:paraId="1D358E22">
            <w:pPr>
              <w:tabs>
                <w:tab w:val="left" w:pos="1080"/>
              </w:tabs>
              <w:spacing w:beforeLines="25" w:line="400" w:lineRule="exact"/>
              <w:rPr>
                <w:rFonts w:hint="eastAsia" w:ascii="仿宋_GB2312" w:hAnsi="仿宋_GB2312" w:eastAsia="仿宋_GB2312" w:cs="仿宋_GB2312"/>
                <w:sz w:val="24"/>
              </w:rPr>
            </w:pPr>
            <w:r>
              <w:rPr>
                <w:rFonts w:hint="eastAsia" w:ascii="仿宋_GB2312" w:hAnsi="仿宋_GB2312" w:eastAsia="仿宋_GB2312" w:cs="仿宋_GB2312"/>
                <w:b/>
                <w:bCs/>
                <w:sz w:val="24"/>
              </w:rPr>
              <w:t>[ ]</w:t>
            </w:r>
          </w:p>
        </w:tc>
        <w:tc>
          <w:tcPr>
            <w:tcW w:w="2250" w:type="dxa"/>
            <w:tcBorders>
              <w:top w:val="single" w:color="auto" w:sz="4" w:space="0"/>
              <w:left w:val="single" w:color="auto" w:sz="4" w:space="0"/>
              <w:bottom w:val="single" w:color="auto" w:sz="4" w:space="0"/>
              <w:right w:val="single" w:color="auto" w:sz="4" w:space="0"/>
            </w:tcBorders>
          </w:tcPr>
          <w:p w14:paraId="565C41D6">
            <w:pPr>
              <w:tabs>
                <w:tab w:val="left" w:pos="1080"/>
              </w:tabs>
              <w:spacing w:beforeLines="25"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联系电话：</w:t>
            </w:r>
          </w:p>
        </w:tc>
        <w:tc>
          <w:tcPr>
            <w:tcW w:w="2042" w:type="dxa"/>
            <w:tcBorders>
              <w:top w:val="single" w:color="auto" w:sz="4" w:space="0"/>
              <w:left w:val="single" w:color="auto" w:sz="4" w:space="0"/>
              <w:bottom w:val="single" w:color="auto" w:sz="4" w:space="0"/>
              <w:right w:val="single" w:color="auto" w:sz="4" w:space="0"/>
            </w:tcBorders>
          </w:tcPr>
          <w:p w14:paraId="38B41E44">
            <w:pPr>
              <w:tabs>
                <w:tab w:val="left" w:pos="1080"/>
              </w:tabs>
              <w:spacing w:beforeLines="25" w:line="400" w:lineRule="exact"/>
              <w:rPr>
                <w:rFonts w:hint="eastAsia" w:ascii="仿宋_GB2312" w:hAnsi="仿宋_GB2312" w:eastAsia="仿宋_GB2312" w:cs="仿宋_GB2312"/>
                <w:sz w:val="24"/>
              </w:rPr>
            </w:pPr>
            <w:r>
              <w:rPr>
                <w:rFonts w:hint="eastAsia" w:ascii="仿宋_GB2312" w:hAnsi="仿宋_GB2312" w:eastAsia="仿宋_GB2312" w:cs="仿宋_GB2312"/>
                <w:b/>
                <w:bCs/>
                <w:sz w:val="24"/>
              </w:rPr>
              <w:t>[ ]</w:t>
            </w:r>
          </w:p>
        </w:tc>
      </w:tr>
      <w:tr w14:paraId="433F7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tcBorders>
              <w:top w:val="single" w:color="auto" w:sz="4" w:space="0"/>
              <w:left w:val="single" w:color="auto" w:sz="4" w:space="0"/>
              <w:bottom w:val="single" w:color="auto" w:sz="4" w:space="0"/>
              <w:right w:val="single" w:color="auto" w:sz="4" w:space="0"/>
            </w:tcBorders>
            <w:vAlign w:val="center"/>
          </w:tcPr>
          <w:p w14:paraId="18B5E51B">
            <w:pPr>
              <w:tabs>
                <w:tab w:val="left" w:pos="1080"/>
              </w:tabs>
              <w:spacing w:beforeLines="25"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邮编：</w:t>
            </w:r>
          </w:p>
        </w:tc>
        <w:tc>
          <w:tcPr>
            <w:tcW w:w="2115" w:type="dxa"/>
            <w:tcBorders>
              <w:top w:val="single" w:color="auto" w:sz="4" w:space="0"/>
              <w:left w:val="single" w:color="auto" w:sz="4" w:space="0"/>
              <w:bottom w:val="single" w:color="auto" w:sz="4" w:space="0"/>
              <w:right w:val="single" w:color="auto" w:sz="4" w:space="0"/>
            </w:tcBorders>
          </w:tcPr>
          <w:p w14:paraId="3B2F1976">
            <w:pPr>
              <w:tabs>
                <w:tab w:val="left" w:pos="1080"/>
              </w:tabs>
              <w:spacing w:beforeLines="25" w:line="400" w:lineRule="exact"/>
              <w:rPr>
                <w:rFonts w:hint="eastAsia" w:ascii="仿宋_GB2312" w:hAnsi="仿宋_GB2312" w:eastAsia="仿宋_GB2312" w:cs="仿宋_GB2312"/>
                <w:sz w:val="24"/>
              </w:rPr>
            </w:pPr>
            <w:r>
              <w:rPr>
                <w:rFonts w:hint="eastAsia" w:ascii="仿宋_GB2312" w:hAnsi="仿宋_GB2312" w:eastAsia="仿宋_GB2312" w:cs="仿宋_GB2312"/>
                <w:b/>
                <w:bCs/>
                <w:sz w:val="24"/>
              </w:rPr>
              <w:t>[ ]</w:t>
            </w:r>
          </w:p>
        </w:tc>
        <w:tc>
          <w:tcPr>
            <w:tcW w:w="2250" w:type="dxa"/>
            <w:tcBorders>
              <w:top w:val="single" w:color="auto" w:sz="4" w:space="0"/>
              <w:left w:val="single" w:color="auto" w:sz="4" w:space="0"/>
              <w:bottom w:val="single" w:color="auto" w:sz="4" w:space="0"/>
              <w:right w:val="single" w:color="auto" w:sz="4" w:space="0"/>
            </w:tcBorders>
          </w:tcPr>
          <w:p w14:paraId="4C06A628">
            <w:pPr>
              <w:tabs>
                <w:tab w:val="left" w:pos="1080"/>
              </w:tabs>
              <w:spacing w:beforeLines="25"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传真：</w:t>
            </w:r>
          </w:p>
        </w:tc>
        <w:tc>
          <w:tcPr>
            <w:tcW w:w="2042" w:type="dxa"/>
            <w:tcBorders>
              <w:top w:val="single" w:color="auto" w:sz="4" w:space="0"/>
              <w:left w:val="single" w:color="auto" w:sz="4" w:space="0"/>
              <w:bottom w:val="single" w:color="auto" w:sz="4" w:space="0"/>
              <w:right w:val="single" w:color="auto" w:sz="4" w:space="0"/>
            </w:tcBorders>
          </w:tcPr>
          <w:p w14:paraId="2CBF31AA">
            <w:pPr>
              <w:tabs>
                <w:tab w:val="left" w:pos="1080"/>
              </w:tabs>
              <w:spacing w:beforeLines="25" w:line="400" w:lineRule="exact"/>
              <w:rPr>
                <w:rFonts w:hint="eastAsia" w:ascii="仿宋_GB2312" w:hAnsi="仿宋_GB2312" w:eastAsia="仿宋_GB2312" w:cs="仿宋_GB2312"/>
                <w:sz w:val="24"/>
              </w:rPr>
            </w:pPr>
            <w:r>
              <w:rPr>
                <w:rFonts w:hint="eastAsia" w:ascii="仿宋_GB2312" w:hAnsi="仿宋_GB2312" w:eastAsia="仿宋_GB2312" w:cs="仿宋_GB2312"/>
                <w:b/>
                <w:bCs/>
                <w:sz w:val="24"/>
              </w:rPr>
              <w:t>[ ]</w:t>
            </w:r>
          </w:p>
        </w:tc>
      </w:tr>
      <w:tr w14:paraId="2676E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tcBorders>
              <w:top w:val="single" w:color="auto" w:sz="4" w:space="0"/>
              <w:left w:val="single" w:color="auto" w:sz="4" w:space="0"/>
              <w:bottom w:val="single" w:color="auto" w:sz="4" w:space="0"/>
              <w:right w:val="single" w:color="auto" w:sz="4" w:space="0"/>
            </w:tcBorders>
            <w:vAlign w:val="center"/>
          </w:tcPr>
          <w:p w14:paraId="7D17B3F6">
            <w:pPr>
              <w:tabs>
                <w:tab w:val="left" w:pos="1080"/>
              </w:tabs>
              <w:spacing w:beforeLines="25" w:line="400" w:lineRule="exact"/>
              <w:rPr>
                <w:rFonts w:ascii="仿宋_GB2312" w:hAnsi="仿宋_GB2312" w:eastAsia="仿宋_GB2312" w:cs="仿宋_GB2312"/>
                <w:sz w:val="24"/>
              </w:rPr>
            </w:pPr>
            <w:r>
              <w:rPr>
                <w:rFonts w:hint="eastAsia" w:ascii="仿宋_GB2312" w:hAnsi="仿宋_GB2312" w:eastAsia="仿宋_GB2312" w:cs="仿宋_GB2312"/>
                <w:sz w:val="24"/>
              </w:rPr>
              <w:t>电子邮箱：</w:t>
            </w:r>
          </w:p>
        </w:tc>
        <w:tc>
          <w:tcPr>
            <w:tcW w:w="6407" w:type="dxa"/>
            <w:gridSpan w:val="3"/>
            <w:tcBorders>
              <w:top w:val="single" w:color="auto" w:sz="4" w:space="0"/>
              <w:left w:val="single" w:color="auto" w:sz="4" w:space="0"/>
              <w:bottom w:val="single" w:color="auto" w:sz="4" w:space="0"/>
              <w:right w:val="single" w:color="auto" w:sz="4" w:space="0"/>
            </w:tcBorders>
          </w:tcPr>
          <w:p w14:paraId="1977F33A">
            <w:pPr>
              <w:tabs>
                <w:tab w:val="left" w:pos="1080"/>
              </w:tabs>
              <w:spacing w:beforeLines="25" w:line="400" w:lineRule="exact"/>
              <w:rPr>
                <w:rFonts w:hint="eastAsia" w:ascii="仿宋_GB2312" w:hAnsi="仿宋_GB2312" w:eastAsia="仿宋_GB2312" w:cs="仿宋_GB2312"/>
                <w:sz w:val="24"/>
              </w:rPr>
            </w:pPr>
            <w:r>
              <w:rPr>
                <w:rFonts w:hint="eastAsia" w:ascii="仿宋_GB2312" w:hAnsi="仿宋_GB2312" w:eastAsia="仿宋_GB2312" w:cs="仿宋_GB2312"/>
                <w:b/>
                <w:bCs/>
                <w:sz w:val="24"/>
              </w:rPr>
              <w:t>[ ]</w:t>
            </w:r>
          </w:p>
        </w:tc>
      </w:tr>
    </w:tbl>
    <w:p w14:paraId="517E7800">
      <w:pPr>
        <w:pStyle w:val="205"/>
        <w:rPr>
          <w:rFonts w:hint="eastAsia" w:ascii="仿宋_GB2312" w:hAnsi="仿宋_GB2312" w:eastAsia="仿宋_GB2312" w:cs="仿宋_GB2312"/>
          <w:sz w:val="24"/>
          <w:szCs w:val="24"/>
        </w:rPr>
      </w:pPr>
    </w:p>
    <w:tbl>
      <w:tblPr>
        <w:tblStyle w:val="31"/>
        <w:tblW w:w="8702"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5"/>
        <w:gridCol w:w="2115"/>
        <w:gridCol w:w="2250"/>
        <w:gridCol w:w="2042"/>
      </w:tblGrid>
      <w:tr w14:paraId="4D3DF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95" w:type="dxa"/>
            <w:tcBorders>
              <w:top w:val="single" w:color="auto" w:sz="4" w:space="0"/>
              <w:left w:val="single" w:color="auto" w:sz="4" w:space="0"/>
              <w:bottom w:val="single" w:color="auto" w:sz="4" w:space="0"/>
              <w:right w:val="single" w:color="auto" w:sz="4" w:space="0"/>
            </w:tcBorders>
            <w:vAlign w:val="center"/>
          </w:tcPr>
          <w:p w14:paraId="2307EA01">
            <w:pPr>
              <w:tabs>
                <w:tab w:val="left" w:pos="1080"/>
              </w:tabs>
              <w:spacing w:beforeLines="25"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乙方联系地址：</w:t>
            </w:r>
          </w:p>
        </w:tc>
        <w:tc>
          <w:tcPr>
            <w:tcW w:w="6407" w:type="dxa"/>
            <w:gridSpan w:val="3"/>
            <w:tcBorders>
              <w:top w:val="single" w:color="auto" w:sz="4" w:space="0"/>
              <w:left w:val="single" w:color="auto" w:sz="4" w:space="0"/>
              <w:bottom w:val="single" w:color="auto" w:sz="4" w:space="0"/>
              <w:right w:val="single" w:color="auto" w:sz="4" w:space="0"/>
            </w:tcBorders>
          </w:tcPr>
          <w:p w14:paraId="6E241D1F">
            <w:pPr>
              <w:tabs>
                <w:tab w:val="left" w:pos="1080"/>
              </w:tabs>
              <w:spacing w:beforeLines="25" w:line="400" w:lineRule="exact"/>
              <w:rPr>
                <w:rFonts w:hint="eastAsia" w:ascii="仿宋_GB2312" w:hAnsi="仿宋_GB2312" w:eastAsia="仿宋_GB2312" w:cs="仿宋_GB2312"/>
                <w:sz w:val="24"/>
              </w:rPr>
            </w:pPr>
            <w:r>
              <w:rPr>
                <w:rFonts w:hint="eastAsia" w:ascii="仿宋_GB2312" w:hAnsi="仿宋_GB2312" w:eastAsia="仿宋_GB2312" w:cs="仿宋_GB2312"/>
                <w:b/>
                <w:bCs/>
                <w:sz w:val="24"/>
              </w:rPr>
              <w:t>[ ]</w:t>
            </w:r>
          </w:p>
        </w:tc>
      </w:tr>
      <w:tr w14:paraId="2438D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tcBorders>
              <w:top w:val="single" w:color="auto" w:sz="4" w:space="0"/>
              <w:left w:val="single" w:color="auto" w:sz="4" w:space="0"/>
              <w:bottom w:val="single" w:color="auto" w:sz="4" w:space="0"/>
              <w:right w:val="single" w:color="auto" w:sz="4" w:space="0"/>
            </w:tcBorders>
            <w:vAlign w:val="center"/>
          </w:tcPr>
          <w:p w14:paraId="5B594634">
            <w:pPr>
              <w:tabs>
                <w:tab w:val="left" w:pos="1080"/>
              </w:tabs>
              <w:spacing w:beforeLines="25"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乙方联系人：</w:t>
            </w:r>
          </w:p>
        </w:tc>
        <w:tc>
          <w:tcPr>
            <w:tcW w:w="2115" w:type="dxa"/>
            <w:tcBorders>
              <w:top w:val="single" w:color="auto" w:sz="4" w:space="0"/>
              <w:left w:val="single" w:color="auto" w:sz="4" w:space="0"/>
              <w:bottom w:val="single" w:color="auto" w:sz="4" w:space="0"/>
              <w:right w:val="single" w:color="auto" w:sz="4" w:space="0"/>
            </w:tcBorders>
          </w:tcPr>
          <w:p w14:paraId="736CE4A5">
            <w:pPr>
              <w:tabs>
                <w:tab w:val="left" w:pos="1080"/>
              </w:tabs>
              <w:spacing w:beforeLines="25" w:line="400" w:lineRule="exact"/>
              <w:rPr>
                <w:rFonts w:hint="eastAsia" w:ascii="仿宋_GB2312" w:hAnsi="仿宋_GB2312" w:eastAsia="仿宋_GB2312" w:cs="仿宋_GB2312"/>
                <w:sz w:val="24"/>
              </w:rPr>
            </w:pPr>
            <w:r>
              <w:rPr>
                <w:rFonts w:hint="eastAsia" w:ascii="仿宋_GB2312" w:hAnsi="仿宋_GB2312" w:eastAsia="仿宋_GB2312" w:cs="仿宋_GB2312"/>
                <w:b/>
                <w:bCs/>
                <w:sz w:val="24"/>
              </w:rPr>
              <w:t>[ ]</w:t>
            </w:r>
          </w:p>
        </w:tc>
        <w:tc>
          <w:tcPr>
            <w:tcW w:w="2250" w:type="dxa"/>
            <w:tcBorders>
              <w:top w:val="single" w:color="auto" w:sz="4" w:space="0"/>
              <w:left w:val="single" w:color="auto" w:sz="4" w:space="0"/>
              <w:bottom w:val="single" w:color="auto" w:sz="4" w:space="0"/>
              <w:right w:val="single" w:color="auto" w:sz="4" w:space="0"/>
            </w:tcBorders>
          </w:tcPr>
          <w:p w14:paraId="0BC7E66D">
            <w:pPr>
              <w:tabs>
                <w:tab w:val="left" w:pos="1080"/>
              </w:tabs>
              <w:spacing w:beforeLines="25"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联系电话：</w:t>
            </w:r>
          </w:p>
        </w:tc>
        <w:tc>
          <w:tcPr>
            <w:tcW w:w="2042" w:type="dxa"/>
            <w:tcBorders>
              <w:top w:val="single" w:color="auto" w:sz="4" w:space="0"/>
              <w:left w:val="single" w:color="auto" w:sz="4" w:space="0"/>
              <w:bottom w:val="single" w:color="auto" w:sz="4" w:space="0"/>
              <w:right w:val="single" w:color="auto" w:sz="4" w:space="0"/>
            </w:tcBorders>
          </w:tcPr>
          <w:p w14:paraId="62EF5B16">
            <w:pPr>
              <w:tabs>
                <w:tab w:val="left" w:pos="1080"/>
              </w:tabs>
              <w:spacing w:beforeLines="25" w:line="400" w:lineRule="exact"/>
              <w:rPr>
                <w:rFonts w:hint="eastAsia" w:ascii="仿宋_GB2312" w:hAnsi="仿宋_GB2312" w:eastAsia="仿宋_GB2312" w:cs="仿宋_GB2312"/>
                <w:sz w:val="24"/>
              </w:rPr>
            </w:pPr>
            <w:r>
              <w:rPr>
                <w:rFonts w:hint="eastAsia" w:ascii="仿宋_GB2312" w:hAnsi="仿宋_GB2312" w:eastAsia="仿宋_GB2312" w:cs="仿宋_GB2312"/>
                <w:b/>
                <w:bCs/>
                <w:sz w:val="24"/>
              </w:rPr>
              <w:t>[ ]</w:t>
            </w:r>
          </w:p>
        </w:tc>
      </w:tr>
      <w:tr w14:paraId="1F6A5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tcBorders>
              <w:top w:val="single" w:color="auto" w:sz="4" w:space="0"/>
              <w:left w:val="single" w:color="auto" w:sz="4" w:space="0"/>
              <w:bottom w:val="single" w:color="auto" w:sz="4" w:space="0"/>
              <w:right w:val="single" w:color="auto" w:sz="4" w:space="0"/>
            </w:tcBorders>
            <w:vAlign w:val="center"/>
          </w:tcPr>
          <w:p w14:paraId="799D7F0B">
            <w:pPr>
              <w:tabs>
                <w:tab w:val="left" w:pos="1080"/>
              </w:tabs>
              <w:spacing w:beforeLines="25"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邮编：</w:t>
            </w:r>
          </w:p>
        </w:tc>
        <w:tc>
          <w:tcPr>
            <w:tcW w:w="2115" w:type="dxa"/>
            <w:tcBorders>
              <w:top w:val="single" w:color="auto" w:sz="4" w:space="0"/>
              <w:left w:val="single" w:color="auto" w:sz="4" w:space="0"/>
              <w:bottom w:val="single" w:color="auto" w:sz="4" w:space="0"/>
              <w:right w:val="single" w:color="auto" w:sz="4" w:space="0"/>
            </w:tcBorders>
          </w:tcPr>
          <w:p w14:paraId="41DF1AE1">
            <w:pPr>
              <w:tabs>
                <w:tab w:val="left" w:pos="1080"/>
              </w:tabs>
              <w:spacing w:beforeLines="25" w:line="400" w:lineRule="exact"/>
              <w:rPr>
                <w:rFonts w:hint="eastAsia" w:ascii="仿宋_GB2312" w:hAnsi="仿宋_GB2312" w:eastAsia="仿宋_GB2312" w:cs="仿宋_GB2312"/>
                <w:sz w:val="24"/>
              </w:rPr>
            </w:pPr>
            <w:r>
              <w:rPr>
                <w:rFonts w:hint="eastAsia" w:ascii="仿宋_GB2312" w:hAnsi="仿宋_GB2312" w:eastAsia="仿宋_GB2312" w:cs="仿宋_GB2312"/>
                <w:b/>
                <w:bCs/>
                <w:sz w:val="24"/>
              </w:rPr>
              <w:t>[ ]</w:t>
            </w:r>
          </w:p>
        </w:tc>
        <w:tc>
          <w:tcPr>
            <w:tcW w:w="2250" w:type="dxa"/>
            <w:tcBorders>
              <w:top w:val="single" w:color="auto" w:sz="4" w:space="0"/>
              <w:left w:val="single" w:color="auto" w:sz="4" w:space="0"/>
              <w:bottom w:val="single" w:color="auto" w:sz="4" w:space="0"/>
              <w:right w:val="single" w:color="auto" w:sz="4" w:space="0"/>
            </w:tcBorders>
          </w:tcPr>
          <w:p w14:paraId="1052F84D">
            <w:pPr>
              <w:tabs>
                <w:tab w:val="left" w:pos="1080"/>
              </w:tabs>
              <w:spacing w:beforeLines="25"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传真：</w:t>
            </w:r>
          </w:p>
        </w:tc>
        <w:tc>
          <w:tcPr>
            <w:tcW w:w="2042" w:type="dxa"/>
            <w:tcBorders>
              <w:top w:val="single" w:color="auto" w:sz="4" w:space="0"/>
              <w:left w:val="single" w:color="auto" w:sz="4" w:space="0"/>
              <w:bottom w:val="single" w:color="auto" w:sz="4" w:space="0"/>
              <w:right w:val="single" w:color="auto" w:sz="4" w:space="0"/>
            </w:tcBorders>
          </w:tcPr>
          <w:p w14:paraId="67617A41">
            <w:pPr>
              <w:tabs>
                <w:tab w:val="left" w:pos="1080"/>
              </w:tabs>
              <w:spacing w:beforeLines="25" w:line="400" w:lineRule="exact"/>
              <w:rPr>
                <w:rFonts w:hint="eastAsia" w:ascii="仿宋_GB2312" w:hAnsi="仿宋_GB2312" w:eastAsia="仿宋_GB2312" w:cs="仿宋_GB2312"/>
                <w:sz w:val="24"/>
              </w:rPr>
            </w:pPr>
            <w:r>
              <w:rPr>
                <w:rFonts w:hint="eastAsia" w:ascii="仿宋_GB2312" w:hAnsi="仿宋_GB2312" w:eastAsia="仿宋_GB2312" w:cs="仿宋_GB2312"/>
                <w:b/>
                <w:bCs/>
                <w:sz w:val="24"/>
              </w:rPr>
              <w:t>[ ]</w:t>
            </w:r>
          </w:p>
        </w:tc>
      </w:tr>
      <w:tr w14:paraId="04A19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tcBorders>
              <w:top w:val="single" w:color="auto" w:sz="4" w:space="0"/>
              <w:left w:val="single" w:color="auto" w:sz="4" w:space="0"/>
              <w:bottom w:val="single" w:color="auto" w:sz="4" w:space="0"/>
              <w:right w:val="single" w:color="auto" w:sz="4" w:space="0"/>
            </w:tcBorders>
            <w:vAlign w:val="center"/>
          </w:tcPr>
          <w:p w14:paraId="5B614CAB">
            <w:pPr>
              <w:tabs>
                <w:tab w:val="left" w:pos="1080"/>
              </w:tabs>
              <w:spacing w:beforeLines="25" w:line="400" w:lineRule="exact"/>
              <w:rPr>
                <w:rFonts w:ascii="仿宋_GB2312" w:hAnsi="仿宋_GB2312" w:eastAsia="仿宋_GB2312" w:cs="仿宋_GB2312"/>
                <w:sz w:val="24"/>
              </w:rPr>
            </w:pPr>
            <w:r>
              <w:rPr>
                <w:rFonts w:hint="eastAsia" w:ascii="仿宋_GB2312" w:hAnsi="仿宋_GB2312" w:eastAsia="仿宋_GB2312" w:cs="仿宋_GB2312"/>
                <w:sz w:val="24"/>
              </w:rPr>
              <w:t>电子邮箱：</w:t>
            </w:r>
          </w:p>
        </w:tc>
        <w:tc>
          <w:tcPr>
            <w:tcW w:w="6407" w:type="dxa"/>
            <w:gridSpan w:val="3"/>
            <w:tcBorders>
              <w:top w:val="single" w:color="auto" w:sz="4" w:space="0"/>
              <w:left w:val="single" w:color="auto" w:sz="4" w:space="0"/>
              <w:bottom w:val="single" w:color="auto" w:sz="4" w:space="0"/>
              <w:right w:val="single" w:color="auto" w:sz="4" w:space="0"/>
            </w:tcBorders>
          </w:tcPr>
          <w:p w14:paraId="26FA6474">
            <w:pPr>
              <w:tabs>
                <w:tab w:val="left" w:pos="1080"/>
              </w:tabs>
              <w:spacing w:beforeLines="25" w:line="400" w:lineRule="exact"/>
              <w:rPr>
                <w:rFonts w:hint="eastAsia" w:ascii="仿宋_GB2312" w:hAnsi="仿宋_GB2312" w:eastAsia="仿宋_GB2312" w:cs="仿宋_GB2312"/>
                <w:sz w:val="24"/>
              </w:rPr>
            </w:pPr>
            <w:r>
              <w:rPr>
                <w:rFonts w:hint="eastAsia" w:ascii="仿宋_GB2312" w:hAnsi="仿宋_GB2312" w:eastAsia="仿宋_GB2312" w:cs="仿宋_GB2312"/>
                <w:b/>
                <w:bCs/>
                <w:sz w:val="24"/>
              </w:rPr>
              <w:t>[ ]</w:t>
            </w:r>
          </w:p>
        </w:tc>
      </w:tr>
    </w:tbl>
    <w:p w14:paraId="245E5033">
      <w:pPr>
        <w:tabs>
          <w:tab w:val="left" w:pos="1080"/>
        </w:tabs>
        <w:spacing w:beforeLines="25" w:line="400" w:lineRule="exact"/>
        <w:rPr>
          <w:rFonts w:hint="eastAsia" w:ascii="黑体" w:hAnsi="黑体" w:eastAsia="黑体" w:cs="黑体"/>
          <w:bCs/>
          <w:sz w:val="24"/>
        </w:rPr>
      </w:pPr>
    </w:p>
    <w:p w14:paraId="147646ED">
      <w:pPr>
        <w:tabs>
          <w:tab w:val="left" w:pos="1080"/>
        </w:tabs>
        <w:spacing w:beforeLines="25" w:line="400" w:lineRule="exact"/>
        <w:rPr>
          <w:rFonts w:hint="eastAsia" w:ascii="黑体" w:hAnsi="黑体" w:eastAsia="黑体" w:cs="黑体"/>
          <w:bCs/>
          <w:sz w:val="24"/>
        </w:rPr>
      </w:pPr>
      <w:r>
        <w:rPr>
          <w:rFonts w:hint="eastAsia" w:ascii="黑体" w:hAnsi="黑体" w:eastAsia="黑体" w:cs="黑体"/>
          <w:bCs/>
          <w:sz w:val="24"/>
        </w:rPr>
        <w:t>第15条</w:t>
      </w:r>
      <w:r>
        <w:rPr>
          <w:rFonts w:hint="eastAsia" w:ascii="黑体" w:hAnsi="黑体" w:eastAsia="黑体" w:cs="黑体"/>
          <w:bCs/>
          <w:sz w:val="24"/>
        </w:rPr>
        <w:tab/>
      </w:r>
      <w:r>
        <w:rPr>
          <w:rFonts w:hint="eastAsia" w:ascii="黑体" w:hAnsi="黑体" w:eastAsia="黑体" w:cs="黑体"/>
          <w:bCs/>
          <w:sz w:val="24"/>
        </w:rPr>
        <w:t>司法管辖和争议的解决</w:t>
      </w:r>
    </w:p>
    <w:p w14:paraId="74C712A6">
      <w:pPr>
        <w:spacing w:beforeLines="25"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15.1 本合同适用中华人民共和国法律。</w:t>
      </w:r>
    </w:p>
    <w:p w14:paraId="71E94108">
      <w:pPr>
        <w:tabs>
          <w:tab w:val="left" w:pos="1080"/>
        </w:tabs>
        <w:spacing w:beforeLines="25"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15.2  由本合同引起的或与本合同有关的争议，双方应友好协商解决。协商不成的，提交甲方所在地有管辖权的法院诉讼解决。</w:t>
      </w:r>
    </w:p>
    <w:p w14:paraId="09F8A0EB">
      <w:pPr>
        <w:tabs>
          <w:tab w:val="left" w:pos="1080"/>
        </w:tabs>
        <w:spacing w:beforeLines="25" w:line="400" w:lineRule="exact"/>
        <w:rPr>
          <w:rFonts w:hint="eastAsia" w:ascii="黑体" w:hAnsi="黑体" w:eastAsia="黑体" w:cs="黑体"/>
          <w:bCs/>
          <w:sz w:val="24"/>
        </w:rPr>
      </w:pPr>
      <w:r>
        <w:rPr>
          <w:rFonts w:hint="eastAsia" w:ascii="黑体" w:hAnsi="黑体" w:eastAsia="黑体" w:cs="黑体"/>
          <w:bCs/>
          <w:sz w:val="24"/>
        </w:rPr>
        <w:t>第16条</w:t>
      </w:r>
      <w:r>
        <w:rPr>
          <w:rFonts w:hint="eastAsia" w:ascii="黑体" w:hAnsi="黑体" w:eastAsia="黑体" w:cs="黑体"/>
          <w:bCs/>
          <w:sz w:val="24"/>
        </w:rPr>
        <w:tab/>
      </w:r>
      <w:r>
        <w:rPr>
          <w:rFonts w:hint="eastAsia" w:ascii="黑体" w:hAnsi="黑体" w:eastAsia="黑体" w:cs="黑体"/>
          <w:bCs/>
          <w:sz w:val="24"/>
        </w:rPr>
        <w:t>合同构成及效力顺序</w:t>
      </w:r>
    </w:p>
    <w:p w14:paraId="0154910A">
      <w:pPr>
        <w:tabs>
          <w:tab w:val="left" w:pos="1080"/>
        </w:tabs>
        <w:spacing w:beforeLines="25"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16.1 本合同由第一部分《通用条款》、第二部分《专用条款》及附件构成，双方就合同履行达成的补充协议，亦构成本合同的有效组成部分。</w:t>
      </w:r>
    </w:p>
    <w:p w14:paraId="390BD009">
      <w:pPr>
        <w:tabs>
          <w:tab w:val="left" w:pos="1080"/>
        </w:tabs>
        <w:spacing w:beforeLines="25"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16.2 本合同各部分之间如存在约定不一致的情形，按照以下顺序适用，排列在前者具有优先适用的效力。</w:t>
      </w:r>
    </w:p>
    <w:p w14:paraId="5AFB963E">
      <w:pPr>
        <w:tabs>
          <w:tab w:val="left" w:pos="1080"/>
        </w:tabs>
        <w:spacing w:beforeLines="25" w:line="400" w:lineRule="exact"/>
        <w:ind w:firstLine="360" w:firstLineChars="150"/>
        <w:rPr>
          <w:rFonts w:hint="eastAsia" w:ascii="仿宋_GB2312" w:hAnsi="仿宋_GB2312" w:eastAsia="仿宋_GB2312" w:cs="仿宋_GB2312"/>
          <w:sz w:val="24"/>
        </w:rPr>
      </w:pPr>
      <w:r>
        <w:rPr>
          <w:rFonts w:hint="eastAsia" w:ascii="仿宋_GB2312" w:hAnsi="仿宋_GB2312" w:eastAsia="仿宋_GB2312" w:cs="仿宋_GB2312"/>
          <w:sz w:val="24"/>
        </w:rPr>
        <w:t>（1）补充协议；</w:t>
      </w:r>
    </w:p>
    <w:p w14:paraId="4253AABD">
      <w:pPr>
        <w:tabs>
          <w:tab w:val="left" w:pos="1080"/>
        </w:tabs>
        <w:spacing w:beforeLines="25" w:line="400" w:lineRule="exact"/>
        <w:ind w:firstLine="360" w:firstLineChars="150"/>
        <w:rPr>
          <w:rFonts w:hint="eastAsia" w:ascii="仿宋_GB2312" w:hAnsi="仿宋_GB2312" w:eastAsia="仿宋_GB2312" w:cs="仿宋_GB2312"/>
          <w:sz w:val="24"/>
        </w:rPr>
      </w:pPr>
      <w:r>
        <w:rPr>
          <w:rFonts w:hint="eastAsia" w:ascii="仿宋_GB2312" w:hAnsi="仿宋_GB2312" w:eastAsia="仿宋_GB2312" w:cs="仿宋_GB2312"/>
          <w:sz w:val="24"/>
        </w:rPr>
        <w:t>（2）专用条款/附件；</w:t>
      </w:r>
    </w:p>
    <w:p w14:paraId="2D72F442">
      <w:pPr>
        <w:tabs>
          <w:tab w:val="left" w:pos="1080"/>
        </w:tabs>
        <w:spacing w:beforeLines="25" w:line="400" w:lineRule="exact"/>
        <w:ind w:firstLine="360" w:firstLineChars="150"/>
        <w:rPr>
          <w:rFonts w:hint="eastAsia" w:ascii="仿宋_GB2312" w:hAnsi="仿宋_GB2312" w:eastAsia="仿宋_GB2312" w:cs="仿宋_GB2312"/>
          <w:sz w:val="24"/>
        </w:rPr>
      </w:pPr>
      <w:r>
        <w:rPr>
          <w:rFonts w:hint="eastAsia" w:ascii="仿宋_GB2312" w:hAnsi="仿宋_GB2312" w:eastAsia="仿宋_GB2312" w:cs="仿宋_GB2312"/>
          <w:sz w:val="24"/>
        </w:rPr>
        <w:t xml:space="preserve">（4）通用条款。 </w:t>
      </w:r>
    </w:p>
    <w:p w14:paraId="5B03DC36">
      <w:pPr>
        <w:tabs>
          <w:tab w:val="left" w:pos="1080"/>
        </w:tabs>
        <w:spacing w:beforeLines="25" w:line="400" w:lineRule="exact"/>
        <w:rPr>
          <w:rFonts w:hint="eastAsia" w:ascii="黑体" w:hAnsi="黑体" w:eastAsia="黑体" w:cs="黑体"/>
          <w:bCs/>
          <w:sz w:val="24"/>
        </w:rPr>
      </w:pPr>
      <w:r>
        <w:rPr>
          <w:rFonts w:hint="eastAsia" w:ascii="黑体" w:hAnsi="黑体" w:eastAsia="黑体" w:cs="黑体"/>
          <w:bCs/>
          <w:sz w:val="24"/>
        </w:rPr>
        <w:t>第17条</w:t>
      </w:r>
      <w:r>
        <w:rPr>
          <w:rFonts w:hint="eastAsia" w:ascii="黑体" w:hAnsi="黑体" w:eastAsia="黑体" w:cs="黑体"/>
          <w:bCs/>
          <w:sz w:val="24"/>
        </w:rPr>
        <w:tab/>
      </w:r>
      <w:r>
        <w:rPr>
          <w:rFonts w:hint="eastAsia" w:ascii="黑体" w:hAnsi="黑体" w:eastAsia="黑体" w:cs="黑体"/>
          <w:bCs/>
          <w:sz w:val="24"/>
        </w:rPr>
        <w:t>其他</w:t>
      </w:r>
    </w:p>
    <w:p w14:paraId="746ADDE5">
      <w:pPr>
        <w:tabs>
          <w:tab w:val="left" w:pos="1080"/>
        </w:tabs>
        <w:spacing w:beforeLines="25" w:line="400" w:lineRule="exact"/>
        <w:ind w:firstLine="470" w:firstLineChars="196"/>
        <w:rPr>
          <w:rFonts w:hint="eastAsia" w:ascii="仿宋_GB2312" w:hAnsi="仿宋_GB2312" w:eastAsia="仿宋_GB2312" w:cs="仿宋_GB2312"/>
          <w:sz w:val="24"/>
        </w:rPr>
      </w:pPr>
      <w:r>
        <w:rPr>
          <w:rFonts w:hint="eastAsia" w:ascii="仿宋_GB2312" w:hAnsi="仿宋_GB2312" w:eastAsia="仿宋_GB2312" w:cs="仿宋_GB2312"/>
          <w:sz w:val="24"/>
        </w:rPr>
        <w:t>17.1 双方确认：对本合同项下各自的权利义务、可能承受的风险和责任等事项，双方均已清楚了解，并已相互根据对方要求对合同条款（特别是义务性、责任性和风险性条款）进行充分说明。经充分、平等、友好的协商、讨论和慎重考虑，双方同意签订本合同。</w:t>
      </w:r>
    </w:p>
    <w:p w14:paraId="5A1D8BCB">
      <w:pPr>
        <w:tabs>
          <w:tab w:val="left" w:pos="1080"/>
        </w:tabs>
        <w:spacing w:beforeLines="25" w:line="400" w:lineRule="exact"/>
        <w:ind w:firstLine="472" w:firstLineChars="196"/>
        <w:rPr>
          <w:rFonts w:hint="eastAsia" w:ascii="仿宋_GB2312" w:hAnsi="仿宋_GB2312" w:eastAsia="仿宋_GB2312" w:cs="仿宋_GB2312"/>
          <w:sz w:val="24"/>
        </w:rPr>
      </w:pPr>
      <w:r>
        <w:rPr>
          <w:rFonts w:hint="eastAsia" w:ascii="仿宋_GB2312" w:hAnsi="仿宋_GB2312" w:eastAsia="仿宋_GB2312" w:cs="仿宋_GB2312"/>
          <w:b/>
          <w:bCs/>
          <w:sz w:val="24"/>
          <w:u w:val="thick"/>
          <w:shd w:val="clear" w:color="auto" w:fill="FFFFFF"/>
        </w:rPr>
        <w:t>17.2 本合同关于乙方义务、责任等约定，同时适用于乙方的工作人员，乙方应对其从业人员履行本合同的行为承担责任</w:t>
      </w:r>
      <w:r>
        <w:rPr>
          <w:rFonts w:hint="eastAsia" w:ascii="仿宋_GB2312" w:hAnsi="仿宋_GB2312" w:eastAsia="仿宋_GB2312" w:cs="仿宋_GB2312"/>
          <w:sz w:val="24"/>
        </w:rPr>
        <w:t>。</w:t>
      </w:r>
    </w:p>
    <w:p w14:paraId="34E2C69E">
      <w:pPr>
        <w:tabs>
          <w:tab w:val="left" w:pos="1080"/>
        </w:tabs>
        <w:spacing w:beforeLines="25" w:line="400" w:lineRule="exact"/>
        <w:ind w:firstLine="470" w:firstLineChars="196"/>
        <w:rPr>
          <w:rFonts w:hint="eastAsia" w:ascii="仿宋_GB2312" w:hAnsi="仿宋_GB2312" w:eastAsia="仿宋_GB2312" w:cs="仿宋_GB2312"/>
          <w:sz w:val="24"/>
        </w:rPr>
      </w:pPr>
      <w:r>
        <w:rPr>
          <w:rFonts w:hint="eastAsia" w:ascii="仿宋_GB2312" w:hAnsi="仿宋_GB2312" w:eastAsia="仿宋_GB2312" w:cs="仿宋_GB2312"/>
          <w:sz w:val="24"/>
        </w:rPr>
        <w:t>17.3 乙方遵守甲方关于物流供应商考核的相关制度，接受甲方的考核评价结果。</w:t>
      </w:r>
    </w:p>
    <w:p w14:paraId="4A50AF4B">
      <w:pPr>
        <w:tabs>
          <w:tab w:val="left" w:pos="1080"/>
        </w:tabs>
        <w:spacing w:beforeLines="25" w:line="400" w:lineRule="exact"/>
        <w:ind w:firstLine="470" w:firstLineChars="196"/>
        <w:rPr>
          <w:rFonts w:hint="eastAsia" w:ascii="仿宋_GB2312" w:hAnsi="仿宋_GB2312" w:eastAsia="仿宋_GB2312" w:cs="仿宋_GB2312"/>
          <w:sz w:val="24"/>
        </w:rPr>
      </w:pPr>
      <w:r>
        <w:rPr>
          <w:rFonts w:hint="eastAsia" w:ascii="仿宋_GB2312" w:hAnsi="仿宋_GB2312" w:eastAsia="仿宋_GB2312" w:cs="仿宋_GB2312"/>
          <w:sz w:val="24"/>
        </w:rPr>
        <w:t>17.4 本协议经双方签字盖章后生效。本合同还应以公章骑缝方式签订。</w:t>
      </w:r>
    </w:p>
    <w:p w14:paraId="343FFDEB">
      <w:pPr>
        <w:tabs>
          <w:tab w:val="left" w:pos="1080"/>
        </w:tabs>
        <w:spacing w:beforeLines="25"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17.5 本协议一式肆份，甲方执贰份，乙方执贰份，具有同等法律效力。</w:t>
      </w:r>
    </w:p>
    <w:p w14:paraId="2387AB06">
      <w:pPr>
        <w:pStyle w:val="205"/>
        <w:rPr>
          <w:rFonts w:hint="eastAsia"/>
        </w:rPr>
      </w:pPr>
    </w:p>
    <w:p w14:paraId="109B819E">
      <w:pPr>
        <w:tabs>
          <w:tab w:val="left" w:pos="1080"/>
        </w:tabs>
        <w:spacing w:line="500" w:lineRule="exact"/>
        <w:ind w:firstLine="480" w:firstLineChars="200"/>
        <w:jc w:val="center"/>
        <w:rPr>
          <w:rFonts w:hint="eastAsia" w:ascii="黑体" w:hAnsi="黑体" w:eastAsia="黑体" w:cs="黑体"/>
          <w:sz w:val="24"/>
        </w:rPr>
      </w:pPr>
      <w:r>
        <w:rPr>
          <w:rFonts w:hint="eastAsia" w:ascii="黑体" w:hAnsi="黑体" w:eastAsia="黑体" w:cs="黑体"/>
          <w:sz w:val="24"/>
        </w:rPr>
        <w:t>第二部分</w:t>
      </w:r>
      <w:r>
        <w:rPr>
          <w:rFonts w:hint="eastAsia" w:ascii="黑体" w:hAnsi="黑体" w:eastAsia="黑体" w:cs="黑体"/>
          <w:sz w:val="24"/>
        </w:rPr>
        <w:tab/>
      </w:r>
      <w:r>
        <w:rPr>
          <w:rFonts w:hint="eastAsia" w:ascii="黑体" w:hAnsi="黑体" w:eastAsia="黑体" w:cs="黑体"/>
          <w:sz w:val="24"/>
        </w:rPr>
        <w:t>专用条款</w:t>
      </w:r>
    </w:p>
    <w:p w14:paraId="6FAB8D16">
      <w:pPr>
        <w:tabs>
          <w:tab w:val="left" w:pos="1080"/>
        </w:tabs>
        <w:spacing w:beforeLines="25"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附件1：危险货物承运安全、消防、环保协议</w:t>
      </w:r>
    </w:p>
    <w:p w14:paraId="5C876E4C">
      <w:pPr>
        <w:tabs>
          <w:tab w:val="left" w:pos="1080"/>
        </w:tabs>
        <w:spacing w:beforeLines="25"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附件2：廉洁合同</w:t>
      </w:r>
    </w:p>
    <w:p w14:paraId="6E3F1914">
      <w:pPr>
        <w:tabs>
          <w:tab w:val="left" w:pos="1080"/>
        </w:tabs>
        <w:spacing w:beforeLines="25"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附件3：</w:t>
      </w:r>
      <w:r>
        <w:rPr>
          <w:rFonts w:ascii="仿宋_GB2312" w:hAnsi="仿宋_GB2312" w:eastAsia="仿宋_GB2312" w:cs="仿宋_GB2312"/>
          <w:sz w:val="24"/>
        </w:rPr>
        <w:t>宁德市福化环保派工单</w:t>
      </w:r>
    </w:p>
    <w:p w14:paraId="3F7A7252">
      <w:pPr>
        <w:tabs>
          <w:tab w:val="left" w:pos="1080"/>
        </w:tabs>
        <w:spacing w:beforeLines="25"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附件4：物流运输供应商考核评分表</w:t>
      </w:r>
    </w:p>
    <w:p w14:paraId="74252F08">
      <w:pPr>
        <w:pStyle w:val="2"/>
        <w:ind w:firstLine="420"/>
        <w:rPr>
          <w:rFonts w:hint="eastAsia"/>
          <w:bCs/>
        </w:rPr>
      </w:pPr>
    </w:p>
    <w:p w14:paraId="641A334B">
      <w:pPr>
        <w:pStyle w:val="2"/>
        <w:ind w:firstLine="880"/>
      </w:pPr>
    </w:p>
    <w:p w14:paraId="76F6A2EF">
      <w:pPr>
        <w:pStyle w:val="205"/>
        <w:spacing w:line="240" w:lineRule="auto"/>
        <w:ind w:firstLine="480" w:firstLineChars="200"/>
        <w:jc w:val="center"/>
        <w:rPr>
          <w:rFonts w:hint="eastAsia" w:ascii="黑体" w:hAnsi="黑体" w:eastAsia="黑体" w:cs="黑体"/>
          <w:sz w:val="24"/>
          <w:szCs w:val="24"/>
        </w:rPr>
      </w:pPr>
      <w:r>
        <w:rPr>
          <w:rFonts w:hint="eastAsia" w:ascii="黑体" w:hAnsi="黑体" w:eastAsia="黑体" w:cs="黑体"/>
          <w:sz w:val="24"/>
          <w:szCs w:val="24"/>
        </w:rPr>
        <w:t>（本页以下无正文，为签章部分）</w:t>
      </w:r>
    </w:p>
    <w:p w14:paraId="56D0282C">
      <w:pPr>
        <w:pStyle w:val="205"/>
        <w:spacing w:line="240" w:lineRule="auto"/>
        <w:ind w:firstLine="480" w:firstLineChars="200"/>
        <w:jc w:val="center"/>
        <w:rPr>
          <w:rFonts w:hint="eastAsia" w:ascii="黑体" w:hAnsi="黑体" w:eastAsia="黑体" w:cs="黑体"/>
          <w:sz w:val="24"/>
          <w:szCs w:val="24"/>
        </w:rPr>
      </w:pPr>
    </w:p>
    <w:p w14:paraId="23197DC0">
      <w:pPr>
        <w:pStyle w:val="205"/>
        <w:spacing w:line="240" w:lineRule="auto"/>
        <w:ind w:firstLine="480" w:firstLineChars="200"/>
        <w:jc w:val="center"/>
        <w:rPr>
          <w:rFonts w:hint="eastAsia" w:ascii="黑体" w:hAnsi="黑体" w:eastAsia="黑体" w:cs="黑体"/>
          <w:sz w:val="24"/>
          <w:szCs w:val="24"/>
        </w:rPr>
      </w:pPr>
    </w:p>
    <w:tbl>
      <w:tblPr>
        <w:tblStyle w:val="31"/>
        <w:tblW w:w="94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2955"/>
        <w:gridCol w:w="2017"/>
        <w:gridCol w:w="2843"/>
      </w:tblGrid>
      <w:tr w14:paraId="22A49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7" w:type="dxa"/>
            <w:gridSpan w:val="2"/>
            <w:tcBorders>
              <w:top w:val="single" w:color="auto" w:sz="4" w:space="0"/>
              <w:left w:val="single" w:color="auto" w:sz="4" w:space="0"/>
              <w:bottom w:val="single" w:color="auto" w:sz="4" w:space="0"/>
              <w:right w:val="single" w:color="auto" w:sz="4" w:space="0"/>
            </w:tcBorders>
          </w:tcPr>
          <w:p w14:paraId="2216DEFC">
            <w:pPr>
              <w:spacing w:line="400" w:lineRule="atLeast"/>
              <w:rPr>
                <w:rFonts w:hint="eastAsia" w:ascii="仿宋_GB2312" w:hAnsi="仿宋_GB2312" w:eastAsia="仿宋_GB2312" w:cs="仿宋_GB2312"/>
                <w:sz w:val="24"/>
              </w:rPr>
            </w:pPr>
            <w:r>
              <w:rPr>
                <w:rFonts w:hint="eastAsia" w:ascii="仿宋_GB2312" w:hAnsi="仿宋_GB2312" w:eastAsia="仿宋_GB2312" w:cs="仿宋_GB2312"/>
                <w:sz w:val="24"/>
              </w:rPr>
              <w:t>甲方（盖章）：</w:t>
            </w:r>
          </w:p>
          <w:p w14:paraId="453B0C15">
            <w:pPr>
              <w:spacing w:line="400" w:lineRule="atLeast"/>
              <w:rPr>
                <w:rFonts w:hint="eastAsia" w:ascii="仿宋_GB2312" w:hAnsi="仿宋_GB2312" w:eastAsia="仿宋_GB2312" w:cs="仿宋_GB2312"/>
                <w:sz w:val="24"/>
              </w:rPr>
            </w:pPr>
            <w:r>
              <w:rPr>
                <w:rFonts w:hint="eastAsia" w:ascii="仿宋_GB2312" w:hAnsi="仿宋_GB2312" w:eastAsia="仿宋_GB2312" w:cs="仿宋_GB2312"/>
                <w:sz w:val="24"/>
              </w:rPr>
              <w:t>宁德市福化环保科技有限公司</w:t>
            </w:r>
          </w:p>
        </w:tc>
        <w:tc>
          <w:tcPr>
            <w:tcW w:w="4860" w:type="dxa"/>
            <w:gridSpan w:val="2"/>
            <w:tcBorders>
              <w:top w:val="single" w:color="auto" w:sz="4" w:space="0"/>
              <w:left w:val="single" w:color="auto" w:sz="4" w:space="0"/>
              <w:bottom w:val="single" w:color="auto" w:sz="4" w:space="0"/>
              <w:right w:val="single" w:color="auto" w:sz="4" w:space="0"/>
            </w:tcBorders>
          </w:tcPr>
          <w:p w14:paraId="0B23DB32">
            <w:pPr>
              <w:spacing w:line="400" w:lineRule="atLeast"/>
              <w:rPr>
                <w:rFonts w:hint="eastAsia" w:ascii="仿宋_GB2312" w:hAnsi="仿宋_GB2312" w:eastAsia="仿宋_GB2312" w:cs="仿宋_GB2312"/>
                <w:sz w:val="24"/>
              </w:rPr>
            </w:pPr>
            <w:r>
              <w:rPr>
                <w:rFonts w:hint="eastAsia" w:ascii="仿宋_GB2312" w:hAnsi="仿宋_GB2312" w:eastAsia="仿宋_GB2312" w:cs="仿宋_GB2312"/>
                <w:sz w:val="24"/>
              </w:rPr>
              <w:t>乙方（盖章）：</w:t>
            </w:r>
          </w:p>
          <w:p w14:paraId="2B3154AD">
            <w:pPr>
              <w:spacing w:line="400" w:lineRule="atLeast"/>
              <w:rPr>
                <w:sz w:val="20"/>
                <w:szCs w:val="22"/>
              </w:rPr>
            </w:pPr>
            <w:r>
              <w:rPr>
                <w:rFonts w:hint="eastAsia" w:ascii="仿宋_GB2312" w:hAnsi="仿宋_GB2312" w:eastAsia="仿宋_GB2312" w:cs="仿宋_GB2312"/>
                <w:b/>
                <w:bCs/>
                <w:sz w:val="24"/>
              </w:rPr>
              <w:t>[ ]</w:t>
            </w:r>
          </w:p>
        </w:tc>
      </w:tr>
      <w:tr w14:paraId="7E8E9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2" w:type="dxa"/>
            <w:tcBorders>
              <w:top w:val="single" w:color="auto" w:sz="4" w:space="0"/>
              <w:left w:val="single" w:color="auto" w:sz="4" w:space="0"/>
              <w:bottom w:val="single" w:color="auto" w:sz="4" w:space="0"/>
              <w:right w:val="single" w:color="auto" w:sz="4" w:space="0"/>
            </w:tcBorders>
            <w:vAlign w:val="center"/>
          </w:tcPr>
          <w:p w14:paraId="7EFF4547">
            <w:pPr>
              <w:spacing w:line="400" w:lineRule="atLeast"/>
              <w:rPr>
                <w:rFonts w:hint="eastAsia" w:ascii="仿宋_GB2312" w:hAnsi="仿宋_GB2312" w:eastAsia="仿宋_GB2312" w:cs="仿宋_GB2312"/>
                <w:sz w:val="24"/>
              </w:rPr>
            </w:pPr>
            <w:r>
              <w:rPr>
                <w:rFonts w:hint="eastAsia" w:ascii="仿宋_GB2312" w:hAnsi="仿宋_GB2312" w:eastAsia="仿宋_GB2312" w:cs="仿宋_GB2312"/>
                <w:sz w:val="24"/>
              </w:rPr>
              <w:t>法定代表人</w:t>
            </w:r>
          </w:p>
          <w:p w14:paraId="33A97F50">
            <w:pPr>
              <w:spacing w:line="400" w:lineRule="atLeast"/>
              <w:rPr>
                <w:rFonts w:hint="eastAsia" w:ascii="仿宋_GB2312" w:hAnsi="仿宋_GB2312" w:eastAsia="仿宋_GB2312" w:cs="仿宋_GB2312"/>
                <w:sz w:val="24"/>
              </w:rPr>
            </w:pPr>
            <w:r>
              <w:rPr>
                <w:rFonts w:hint="eastAsia" w:ascii="仿宋_GB2312" w:hAnsi="仿宋_GB2312" w:eastAsia="仿宋_GB2312" w:cs="仿宋_GB2312"/>
                <w:sz w:val="24"/>
              </w:rPr>
              <w:t>（签字）：</w:t>
            </w:r>
          </w:p>
        </w:tc>
        <w:tc>
          <w:tcPr>
            <w:tcW w:w="2955" w:type="dxa"/>
            <w:tcBorders>
              <w:top w:val="single" w:color="auto" w:sz="4" w:space="0"/>
              <w:left w:val="single" w:color="auto" w:sz="4" w:space="0"/>
              <w:bottom w:val="single" w:color="auto" w:sz="4" w:space="0"/>
              <w:right w:val="single" w:color="auto" w:sz="4" w:space="0"/>
            </w:tcBorders>
          </w:tcPr>
          <w:p w14:paraId="08A69B1B">
            <w:pPr>
              <w:spacing w:line="400" w:lineRule="atLeast"/>
              <w:rPr>
                <w:rFonts w:ascii="仿宋_GB2312" w:hAnsi="仿宋_GB2312" w:eastAsia="仿宋_GB2312" w:cs="仿宋_GB2312"/>
                <w:sz w:val="24"/>
              </w:rPr>
            </w:pPr>
          </w:p>
        </w:tc>
        <w:tc>
          <w:tcPr>
            <w:tcW w:w="2017" w:type="dxa"/>
            <w:tcBorders>
              <w:top w:val="single" w:color="auto" w:sz="4" w:space="0"/>
              <w:left w:val="single" w:color="auto" w:sz="4" w:space="0"/>
              <w:bottom w:val="single" w:color="auto" w:sz="4" w:space="0"/>
              <w:right w:val="single" w:color="auto" w:sz="4" w:space="0"/>
            </w:tcBorders>
            <w:vAlign w:val="center"/>
          </w:tcPr>
          <w:p w14:paraId="7F8FE51A">
            <w:pPr>
              <w:spacing w:line="400" w:lineRule="atLeast"/>
              <w:rPr>
                <w:rFonts w:hint="eastAsia" w:ascii="仿宋_GB2312" w:hAnsi="仿宋_GB2312" w:eastAsia="仿宋_GB2312" w:cs="仿宋_GB2312"/>
                <w:sz w:val="24"/>
              </w:rPr>
            </w:pPr>
            <w:r>
              <w:rPr>
                <w:rFonts w:hint="eastAsia" w:ascii="仿宋_GB2312" w:hAnsi="仿宋_GB2312" w:eastAsia="仿宋_GB2312" w:cs="仿宋_GB2312"/>
                <w:sz w:val="24"/>
              </w:rPr>
              <w:t>法定代表人</w:t>
            </w:r>
          </w:p>
          <w:p w14:paraId="72A9893C">
            <w:pPr>
              <w:spacing w:line="400" w:lineRule="atLeast"/>
              <w:rPr>
                <w:sz w:val="20"/>
                <w:szCs w:val="22"/>
              </w:rPr>
            </w:pPr>
            <w:r>
              <w:rPr>
                <w:rFonts w:hint="eastAsia" w:ascii="仿宋_GB2312" w:hAnsi="仿宋_GB2312" w:eastAsia="仿宋_GB2312" w:cs="仿宋_GB2312"/>
                <w:sz w:val="24"/>
              </w:rPr>
              <w:t>（签字）：</w:t>
            </w:r>
          </w:p>
        </w:tc>
        <w:tc>
          <w:tcPr>
            <w:tcW w:w="2843" w:type="dxa"/>
            <w:tcBorders>
              <w:top w:val="single" w:color="auto" w:sz="4" w:space="0"/>
              <w:left w:val="single" w:color="auto" w:sz="4" w:space="0"/>
              <w:bottom w:val="single" w:color="auto" w:sz="4" w:space="0"/>
              <w:right w:val="single" w:color="auto" w:sz="4" w:space="0"/>
            </w:tcBorders>
          </w:tcPr>
          <w:p w14:paraId="5C09185B">
            <w:pPr>
              <w:spacing w:line="400" w:lineRule="atLeast"/>
              <w:rPr>
                <w:sz w:val="20"/>
                <w:szCs w:val="22"/>
              </w:rPr>
            </w:pPr>
            <w:r>
              <w:rPr>
                <w:rFonts w:hint="eastAsia" w:ascii="仿宋_GB2312" w:hAnsi="仿宋_GB2312" w:eastAsia="仿宋_GB2312" w:cs="仿宋_GB2312"/>
                <w:b/>
                <w:bCs/>
                <w:sz w:val="24"/>
              </w:rPr>
              <w:t>[ ]</w:t>
            </w:r>
          </w:p>
        </w:tc>
      </w:tr>
    </w:tbl>
    <w:p w14:paraId="4350A151">
      <w:pPr>
        <w:pStyle w:val="205"/>
        <w:rPr>
          <w:rFonts w:hint="eastAsia" w:ascii="仿宋_GB2312" w:hAnsi="仿宋_GB2312" w:eastAsia="仿宋_GB2312" w:cs="仿宋_GB2312"/>
          <w:sz w:val="22"/>
        </w:rPr>
      </w:pPr>
    </w:p>
    <w:tbl>
      <w:tblPr>
        <w:tblStyle w:val="31"/>
        <w:tblW w:w="95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7830"/>
      </w:tblGrid>
      <w:tr w14:paraId="57AB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2" w:type="dxa"/>
            <w:gridSpan w:val="2"/>
            <w:tcBorders>
              <w:top w:val="single" w:color="auto" w:sz="4" w:space="0"/>
              <w:left w:val="single" w:color="auto" w:sz="4" w:space="0"/>
              <w:bottom w:val="single" w:color="auto" w:sz="4" w:space="0"/>
              <w:right w:val="single" w:color="auto" w:sz="4" w:space="0"/>
            </w:tcBorders>
            <w:vAlign w:val="center"/>
          </w:tcPr>
          <w:p w14:paraId="6876EAC7">
            <w:pPr>
              <w:spacing w:line="40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甲方开票信息</w:t>
            </w:r>
          </w:p>
        </w:tc>
      </w:tr>
      <w:tr w14:paraId="1BF8F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2" w:type="dxa"/>
            <w:tcBorders>
              <w:top w:val="single" w:color="auto" w:sz="4" w:space="0"/>
              <w:left w:val="single" w:color="auto" w:sz="4" w:space="0"/>
              <w:bottom w:val="single" w:color="auto" w:sz="4" w:space="0"/>
              <w:right w:val="single" w:color="auto" w:sz="4" w:space="0"/>
            </w:tcBorders>
            <w:vAlign w:val="center"/>
          </w:tcPr>
          <w:p w14:paraId="223713F2">
            <w:pPr>
              <w:spacing w:line="40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税号</w:t>
            </w:r>
          </w:p>
        </w:tc>
        <w:tc>
          <w:tcPr>
            <w:tcW w:w="7830" w:type="dxa"/>
            <w:tcBorders>
              <w:top w:val="single" w:color="auto" w:sz="4" w:space="0"/>
              <w:left w:val="single" w:color="auto" w:sz="4" w:space="0"/>
              <w:bottom w:val="single" w:color="auto" w:sz="4" w:space="0"/>
              <w:right w:val="single" w:color="auto" w:sz="4" w:space="0"/>
            </w:tcBorders>
          </w:tcPr>
          <w:p w14:paraId="024B695D">
            <w:pPr>
              <w:spacing w:line="400" w:lineRule="atLeast"/>
              <w:rPr>
                <w:rFonts w:hint="eastAsia" w:ascii="仿宋_GB2312" w:hAnsi="仿宋_GB2312" w:eastAsia="仿宋_GB2312" w:cs="仿宋_GB2312"/>
                <w:sz w:val="24"/>
              </w:rPr>
            </w:pPr>
            <w:r>
              <w:rPr>
                <w:rFonts w:hint="eastAsia" w:ascii="仿宋_GB2312" w:hAnsi="仿宋_GB2312" w:eastAsia="仿宋_GB2312" w:cs="仿宋_GB2312"/>
                <w:b/>
                <w:bCs/>
                <w:sz w:val="24"/>
              </w:rPr>
              <w:t>[ ]</w:t>
            </w:r>
          </w:p>
        </w:tc>
      </w:tr>
      <w:tr w14:paraId="52F26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2" w:type="dxa"/>
            <w:tcBorders>
              <w:top w:val="single" w:color="auto" w:sz="4" w:space="0"/>
              <w:left w:val="single" w:color="auto" w:sz="4" w:space="0"/>
              <w:bottom w:val="single" w:color="auto" w:sz="4" w:space="0"/>
              <w:right w:val="single" w:color="auto" w:sz="4" w:space="0"/>
            </w:tcBorders>
            <w:vAlign w:val="center"/>
          </w:tcPr>
          <w:p w14:paraId="0723F3CB">
            <w:pPr>
              <w:spacing w:line="40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住所</w:t>
            </w:r>
          </w:p>
        </w:tc>
        <w:tc>
          <w:tcPr>
            <w:tcW w:w="7830" w:type="dxa"/>
            <w:tcBorders>
              <w:top w:val="single" w:color="auto" w:sz="4" w:space="0"/>
              <w:left w:val="single" w:color="auto" w:sz="4" w:space="0"/>
              <w:bottom w:val="single" w:color="auto" w:sz="4" w:space="0"/>
              <w:right w:val="single" w:color="auto" w:sz="4" w:space="0"/>
            </w:tcBorders>
          </w:tcPr>
          <w:p w14:paraId="05D240D6">
            <w:pPr>
              <w:spacing w:line="400" w:lineRule="atLeast"/>
              <w:rPr>
                <w:rFonts w:hint="eastAsia" w:ascii="仿宋_GB2312" w:hAnsi="仿宋_GB2312" w:eastAsia="仿宋_GB2312" w:cs="仿宋_GB2312"/>
                <w:sz w:val="24"/>
              </w:rPr>
            </w:pPr>
            <w:r>
              <w:rPr>
                <w:rFonts w:hint="eastAsia" w:ascii="仿宋_GB2312" w:hAnsi="仿宋_GB2312" w:eastAsia="仿宋_GB2312" w:cs="仿宋_GB2312"/>
                <w:b/>
                <w:bCs/>
                <w:sz w:val="24"/>
              </w:rPr>
              <w:t>[ ]</w:t>
            </w:r>
          </w:p>
        </w:tc>
      </w:tr>
      <w:tr w14:paraId="3EDC3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2" w:type="dxa"/>
            <w:tcBorders>
              <w:top w:val="single" w:color="auto" w:sz="4" w:space="0"/>
              <w:left w:val="single" w:color="auto" w:sz="4" w:space="0"/>
              <w:bottom w:val="single" w:color="auto" w:sz="4" w:space="0"/>
              <w:right w:val="single" w:color="auto" w:sz="4" w:space="0"/>
            </w:tcBorders>
            <w:vAlign w:val="center"/>
          </w:tcPr>
          <w:p w14:paraId="5A579D2B">
            <w:pPr>
              <w:spacing w:line="40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电话</w:t>
            </w:r>
          </w:p>
        </w:tc>
        <w:tc>
          <w:tcPr>
            <w:tcW w:w="7830" w:type="dxa"/>
            <w:tcBorders>
              <w:top w:val="single" w:color="auto" w:sz="4" w:space="0"/>
              <w:left w:val="single" w:color="auto" w:sz="4" w:space="0"/>
              <w:bottom w:val="single" w:color="auto" w:sz="4" w:space="0"/>
              <w:right w:val="single" w:color="auto" w:sz="4" w:space="0"/>
            </w:tcBorders>
          </w:tcPr>
          <w:p w14:paraId="4ACD298C">
            <w:pPr>
              <w:spacing w:line="400" w:lineRule="atLeast"/>
              <w:rPr>
                <w:rFonts w:hint="eastAsia" w:ascii="仿宋_GB2312" w:hAnsi="仿宋_GB2312" w:eastAsia="仿宋_GB2312" w:cs="仿宋_GB2312"/>
                <w:sz w:val="24"/>
              </w:rPr>
            </w:pPr>
            <w:r>
              <w:rPr>
                <w:rFonts w:hint="eastAsia" w:ascii="仿宋_GB2312" w:hAnsi="仿宋_GB2312" w:eastAsia="仿宋_GB2312" w:cs="仿宋_GB2312"/>
                <w:b/>
                <w:bCs/>
                <w:sz w:val="24"/>
              </w:rPr>
              <w:t>[ ]</w:t>
            </w:r>
          </w:p>
        </w:tc>
      </w:tr>
      <w:tr w14:paraId="10BBD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2" w:type="dxa"/>
            <w:tcBorders>
              <w:top w:val="single" w:color="auto" w:sz="4" w:space="0"/>
              <w:left w:val="single" w:color="auto" w:sz="4" w:space="0"/>
              <w:bottom w:val="single" w:color="auto" w:sz="4" w:space="0"/>
              <w:right w:val="single" w:color="auto" w:sz="4" w:space="0"/>
            </w:tcBorders>
            <w:vAlign w:val="center"/>
          </w:tcPr>
          <w:p w14:paraId="73BF7E2F">
            <w:pPr>
              <w:spacing w:line="40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开户行</w:t>
            </w:r>
          </w:p>
        </w:tc>
        <w:tc>
          <w:tcPr>
            <w:tcW w:w="7830" w:type="dxa"/>
            <w:tcBorders>
              <w:top w:val="single" w:color="auto" w:sz="4" w:space="0"/>
              <w:left w:val="single" w:color="auto" w:sz="4" w:space="0"/>
              <w:bottom w:val="single" w:color="auto" w:sz="4" w:space="0"/>
              <w:right w:val="single" w:color="auto" w:sz="4" w:space="0"/>
            </w:tcBorders>
          </w:tcPr>
          <w:p w14:paraId="7D711926">
            <w:pPr>
              <w:spacing w:line="400" w:lineRule="atLeast"/>
              <w:rPr>
                <w:rFonts w:hint="eastAsia" w:ascii="仿宋_GB2312" w:hAnsi="仿宋_GB2312" w:eastAsia="仿宋_GB2312" w:cs="仿宋_GB2312"/>
                <w:sz w:val="24"/>
              </w:rPr>
            </w:pPr>
            <w:r>
              <w:rPr>
                <w:rFonts w:hint="eastAsia" w:ascii="仿宋_GB2312" w:hAnsi="仿宋_GB2312" w:eastAsia="仿宋_GB2312" w:cs="仿宋_GB2312"/>
                <w:b/>
                <w:bCs/>
                <w:sz w:val="24"/>
              </w:rPr>
              <w:t>[ ]</w:t>
            </w:r>
          </w:p>
        </w:tc>
      </w:tr>
      <w:tr w14:paraId="5EDBE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672" w:type="dxa"/>
            <w:tcBorders>
              <w:top w:val="single" w:color="auto" w:sz="4" w:space="0"/>
              <w:left w:val="single" w:color="auto" w:sz="4" w:space="0"/>
              <w:bottom w:val="single" w:color="auto" w:sz="4" w:space="0"/>
              <w:right w:val="single" w:color="auto" w:sz="4" w:space="0"/>
            </w:tcBorders>
            <w:vAlign w:val="center"/>
          </w:tcPr>
          <w:p w14:paraId="5CAFDA17">
            <w:pPr>
              <w:spacing w:line="40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账号</w:t>
            </w:r>
          </w:p>
        </w:tc>
        <w:tc>
          <w:tcPr>
            <w:tcW w:w="7830" w:type="dxa"/>
            <w:tcBorders>
              <w:top w:val="single" w:color="auto" w:sz="4" w:space="0"/>
              <w:left w:val="single" w:color="auto" w:sz="4" w:space="0"/>
              <w:bottom w:val="single" w:color="auto" w:sz="4" w:space="0"/>
              <w:right w:val="single" w:color="auto" w:sz="4" w:space="0"/>
            </w:tcBorders>
          </w:tcPr>
          <w:p w14:paraId="6AB97BB5">
            <w:pPr>
              <w:spacing w:line="400" w:lineRule="atLeast"/>
              <w:rPr>
                <w:rFonts w:hint="eastAsia" w:ascii="仿宋_GB2312" w:hAnsi="仿宋_GB2312" w:eastAsia="仿宋_GB2312" w:cs="仿宋_GB2312"/>
                <w:sz w:val="24"/>
              </w:rPr>
            </w:pPr>
            <w:r>
              <w:rPr>
                <w:rFonts w:hint="eastAsia" w:ascii="仿宋_GB2312" w:hAnsi="仿宋_GB2312" w:eastAsia="仿宋_GB2312" w:cs="仿宋_GB2312"/>
                <w:b/>
                <w:bCs/>
                <w:sz w:val="24"/>
              </w:rPr>
              <w:t>[ ]</w:t>
            </w:r>
          </w:p>
        </w:tc>
      </w:tr>
    </w:tbl>
    <w:p w14:paraId="58595A8D">
      <w:pPr>
        <w:spacing w:line="400" w:lineRule="atLeast"/>
        <w:rPr>
          <w:rFonts w:hint="eastAsia" w:ascii="仿宋_GB2312" w:hAnsi="仿宋_GB2312" w:eastAsia="仿宋_GB2312" w:cs="仿宋_GB2312"/>
          <w:sz w:val="24"/>
        </w:rPr>
      </w:pPr>
      <w:r>
        <w:rPr>
          <w:rFonts w:hint="eastAsia" w:ascii="仿宋_GB2312" w:hAnsi="仿宋_GB2312" w:eastAsia="仿宋_GB2312" w:cs="仿宋_GB2312"/>
          <w:sz w:val="24"/>
        </w:rPr>
        <w:t>合同校对（签字）：</w:t>
      </w:r>
    </w:p>
    <w:p w14:paraId="001F98D4">
      <w:pPr>
        <w:tabs>
          <w:tab w:val="left" w:pos="1080"/>
        </w:tabs>
        <w:spacing w:beforeLines="25" w:line="400" w:lineRule="exact"/>
        <w:rPr>
          <w:rFonts w:hint="eastAsia" w:ascii="黑体" w:hAnsi="黑体" w:eastAsia="黑体" w:cs="黑体"/>
          <w:bCs/>
          <w:sz w:val="24"/>
        </w:rPr>
      </w:pPr>
      <w:r>
        <w:rPr>
          <w:rFonts w:hint="eastAsia" w:ascii="黑体" w:hAnsi="黑体" w:eastAsia="黑体" w:cs="黑体"/>
          <w:bCs/>
          <w:sz w:val="24"/>
        </w:rPr>
        <w:t>附件：</w:t>
      </w:r>
    </w:p>
    <w:p w14:paraId="0113F637">
      <w:pPr>
        <w:spacing w:line="500" w:lineRule="exact"/>
        <w:jc w:val="center"/>
        <w:rPr>
          <w:rFonts w:hint="eastAsia" w:ascii="方正小标宋简体" w:hAnsi="方正小标宋简体" w:eastAsia="方正小标宋简体" w:cs="方正小标宋简体"/>
          <w:b/>
          <w:sz w:val="40"/>
          <w:szCs w:val="40"/>
        </w:rPr>
      </w:pPr>
    </w:p>
    <w:p w14:paraId="078E302F">
      <w:pPr>
        <w:spacing w:line="500" w:lineRule="exact"/>
        <w:jc w:val="center"/>
        <w:rPr>
          <w:rFonts w:hint="eastAsia" w:ascii="方正小标宋简体" w:hAnsi="方正小标宋简体" w:eastAsia="方正小标宋简体" w:cs="方正小标宋简体"/>
          <w:b/>
          <w:sz w:val="40"/>
          <w:szCs w:val="40"/>
        </w:rPr>
      </w:pPr>
      <w:r>
        <w:rPr>
          <w:rFonts w:hint="eastAsia" w:ascii="方正小标宋简体" w:hAnsi="方正小标宋简体" w:eastAsia="方正小标宋简体" w:cs="方正小标宋简体"/>
          <w:bCs/>
          <w:sz w:val="40"/>
          <w:szCs w:val="40"/>
        </w:rPr>
        <w:t>危险货物承运安全、消防、环保协议</w:t>
      </w:r>
    </w:p>
    <w:p w14:paraId="51E419A1">
      <w:pPr>
        <w:spacing w:line="500" w:lineRule="exact"/>
        <w:rPr>
          <w:rFonts w:hint="eastAsia" w:ascii="仿宋_GB2312" w:hAnsi="仿宋_GB2312" w:eastAsia="仿宋_GB2312" w:cs="仿宋_GB2312"/>
          <w:sz w:val="24"/>
        </w:rPr>
      </w:pPr>
    </w:p>
    <w:p w14:paraId="0845ED33">
      <w:pPr>
        <w:spacing w:line="500" w:lineRule="exact"/>
        <w:rPr>
          <w:rFonts w:hint="eastAsia" w:ascii="仿宋_GB2312" w:hAnsi="仿宋_GB2312" w:eastAsia="仿宋_GB2312" w:cs="仿宋_GB2312"/>
          <w:sz w:val="24"/>
        </w:rPr>
      </w:pPr>
      <w:r>
        <w:rPr>
          <w:rFonts w:hint="eastAsia" w:ascii="黑体" w:hAnsi="黑体" w:eastAsia="黑体" w:cs="黑体"/>
          <w:sz w:val="24"/>
        </w:rPr>
        <w:t>甲方（托运方）：宁德市福化环保科技有限公司</w:t>
      </w:r>
    </w:p>
    <w:p w14:paraId="3457C978">
      <w:pPr>
        <w:spacing w:line="500" w:lineRule="exact"/>
        <w:rPr>
          <w:rFonts w:hint="eastAsia" w:ascii="仿宋_GB2312" w:hAnsi="仿宋_GB2312" w:eastAsia="仿宋_GB2312" w:cs="仿宋_GB2312"/>
          <w:sz w:val="24"/>
          <w:u w:val="single"/>
        </w:rPr>
      </w:pPr>
      <w:r>
        <w:rPr>
          <w:rFonts w:hint="eastAsia" w:ascii="黑体" w:hAnsi="黑体" w:eastAsia="黑体" w:cs="黑体"/>
          <w:sz w:val="24"/>
        </w:rPr>
        <w:t>乙方（承运方）：</w:t>
      </w:r>
      <w:r>
        <w:rPr>
          <w:rFonts w:hint="eastAsia" w:ascii="仿宋_GB2312" w:hAnsi="仿宋_GB2312" w:eastAsia="仿宋_GB2312" w:cs="仿宋_GB2312"/>
          <w:kern w:val="0"/>
          <w:sz w:val="24"/>
        </w:rPr>
        <w:t xml:space="preserve">                           </w:t>
      </w:r>
    </w:p>
    <w:p w14:paraId="4E23420E">
      <w:pPr>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甲方委托乙方进行危险货物运输（具体内容见主合同），为进一步明确甲乙双方在运输危险货物作业过程中承担的安全、消防、环保责任，依据《中华人民共和国安全生产法》、《消防法》《道路交通安全法》及有关法律法规，签订本安全、消防、环保协议书。</w:t>
      </w:r>
    </w:p>
    <w:p w14:paraId="4D39E703">
      <w:pPr>
        <w:spacing w:line="500" w:lineRule="exact"/>
        <w:ind w:firstLine="480" w:firstLineChars="200"/>
        <w:rPr>
          <w:rFonts w:hint="eastAsia" w:ascii="黑体" w:hAnsi="黑体" w:eastAsia="黑体" w:cs="黑体"/>
          <w:sz w:val="24"/>
        </w:rPr>
      </w:pPr>
      <w:r>
        <w:rPr>
          <w:rFonts w:hint="eastAsia" w:ascii="黑体" w:hAnsi="黑体" w:eastAsia="黑体" w:cs="黑体"/>
          <w:sz w:val="24"/>
        </w:rPr>
        <w:t>一、甲方责任</w:t>
      </w:r>
    </w:p>
    <w:p w14:paraId="1D3AF339">
      <w:pPr>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1、甲方应提前一天通知乙方收运地点、品种及其它运输要求，对于标示不明或者包装物不符合要求的托运物，乙方有权拒收。</w:t>
      </w:r>
    </w:p>
    <w:p w14:paraId="53CF45B4">
      <w:pPr>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2、甲方应做好承运的相关协调工作，对乙方的人员进行安全教育，安全交底的内部运输过程中安全生产要求，财产保全要求及其它客户现场操作要求等，甲方要详细准确向乙方做出安排，确保传达到位。</w:t>
      </w:r>
    </w:p>
    <w:p w14:paraId="42BE6442">
      <w:pPr>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甲方应严格遵守国家有关安全、消防、环保生产的法律法规，严格把关乙方的安全资质、事故预案等相关资质，核查乙方安全生产保障体系(包括乙方的安全操作规程、特种作业人员的审证考核制度、各级安全生产岗位责任制和定期安全检查、安全教育等制度等）、应急预案及规章制度。应有的安全管理制度齐全。包括各工种的4、甲方有权要求乙方严格执行安全生产法规、标准，遵守道路交通安全管理有关规定，熟练掌握事故防范措施。</w:t>
      </w:r>
    </w:p>
    <w:p w14:paraId="396849BB">
      <w:pPr>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5、甲方按规定对乙方的各类资质证件、驾驶员及押运员资质、车辆车况进行审查和备案。</w:t>
      </w:r>
    </w:p>
    <w:p w14:paraId="37CF8B99">
      <w:pPr>
        <w:spacing w:line="5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6、甲方发现乙方违章驾驶、违章作业、安全隐患，有权进行警告，经警告后拒不改正，或者再次发生的，可处每次1000元的处罚。</w:t>
      </w:r>
    </w:p>
    <w:p w14:paraId="6A5497F0">
      <w:pPr>
        <w:spacing w:line="500" w:lineRule="exact"/>
        <w:ind w:firstLine="480" w:firstLineChars="200"/>
        <w:rPr>
          <w:rFonts w:hint="eastAsia" w:ascii="黑体" w:hAnsi="黑体" w:eastAsia="黑体" w:cs="黑体"/>
          <w:sz w:val="24"/>
        </w:rPr>
      </w:pPr>
      <w:r>
        <w:rPr>
          <w:rFonts w:hint="eastAsia" w:ascii="黑体" w:hAnsi="黑体" w:eastAsia="黑体" w:cs="黑体"/>
          <w:sz w:val="24"/>
        </w:rPr>
        <w:t>二、乙方责任</w:t>
      </w:r>
    </w:p>
    <w:p w14:paraId="7BA9E478">
      <w:pPr>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1、乙方危险品运输车辆应配备符合危险货物运输资质的驾驶员和押运员，并确保车辆车况良好，配备有效GPS，车辆证照齐全、有效。乙方根据甲方的安全交底，事先制定安全方案后方可进行运输服务。</w:t>
      </w:r>
    </w:p>
    <w:p w14:paraId="4576CF8E">
      <w:pPr>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2、乙方抵达甲方指定地点收运时，应按甲方要求对危险货物包装、品种、重量进行检验，并按要求如实填写转移联单。</w:t>
      </w:r>
    </w:p>
    <w:p w14:paraId="344E59B6">
      <w:pPr>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3、乙方负责将承运的危险货物安全、及时地运到目的地，确保危废重量与品种与初始相符，与转移联单一致，确保危废不丢失、不泄漏及不出现安全事故。</w:t>
      </w:r>
    </w:p>
    <w:p w14:paraId="73BE7D16">
      <w:pPr>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4、乙方在整个承运过程中（从乙方抵达甲方指定收运地点至乙方抵达甲方厂区指定区域并完成卸车）如出现交通或其它方面违规、违纪、违法行为，一切责任由乙方承担。</w:t>
      </w:r>
    </w:p>
    <w:p w14:paraId="74CC5353">
      <w:pPr>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5、乙方应教育好承运车辆的驾驶员、押运员，应严格遵守国家和地方交通法律、法规，严格执行甲方及甲方客户的各项规章制度及安全操作规程，如有违反，由乙方承担相应责任。</w:t>
      </w:r>
    </w:p>
    <w:p w14:paraId="654D6440">
      <w:pPr>
        <w:spacing w:line="5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6、乙方车辆应配备、维护好随车安全、消防、环保应急设备和器材，并进行检查，确保相关设备器材状态良好。</w:t>
      </w:r>
    </w:p>
    <w:p w14:paraId="6854C398">
      <w:pPr>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7、乙方应制定交通安全事故应急预案，驾驶员、押运员等随车人员应熟悉岗位安全、消防、环保职责，熟练使用消防器材和掌握消防知识，若发生事故应及时启动应急预案，并按照救援程序予以实施，同时立即告知甲方。</w:t>
      </w:r>
    </w:p>
    <w:p w14:paraId="1C63251B">
      <w:pPr>
        <w:spacing w:line="500" w:lineRule="exact"/>
        <w:ind w:firstLine="480" w:firstLineChars="200"/>
        <w:rPr>
          <w:rFonts w:ascii="黑体" w:hAnsi="黑体" w:eastAsia="黑体" w:cs="黑体"/>
          <w:sz w:val="24"/>
        </w:rPr>
      </w:pPr>
      <w:r>
        <w:rPr>
          <w:rFonts w:hint="eastAsia" w:ascii="黑体" w:hAnsi="黑体" w:eastAsia="黑体" w:cs="黑体"/>
          <w:sz w:val="24"/>
        </w:rPr>
        <w:t>三、禁止行为</w:t>
      </w:r>
    </w:p>
    <w:p w14:paraId="10F898DB">
      <w:pPr>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乙方不得将甲方托运物（危险货物及其包装）遗失、丢失、抛弃、泄漏、偷窃、倒卖或者其他方式的私自处理。乙方不得参与、纵容、默认其工作人员（含劳务及雇佣人员）遗失、丢失、抛弃、泄漏、偷窃、倒卖或者其他方式的私自处理甲方托运物（危险货物及其包装）。</w:t>
      </w:r>
    </w:p>
    <w:p w14:paraId="68A6A3C6">
      <w:pPr>
        <w:spacing w:line="500" w:lineRule="exact"/>
        <w:ind w:firstLine="480" w:firstLineChars="200"/>
        <w:rPr>
          <w:rFonts w:ascii="黑体" w:hAnsi="黑体" w:eastAsia="黑体" w:cs="黑体"/>
          <w:sz w:val="24"/>
        </w:rPr>
      </w:pPr>
      <w:r>
        <w:rPr>
          <w:rFonts w:hint="eastAsia" w:ascii="黑体" w:hAnsi="黑体" w:eastAsia="黑体" w:cs="黑体"/>
          <w:sz w:val="24"/>
        </w:rPr>
        <w:t>四、责任</w:t>
      </w:r>
    </w:p>
    <w:p w14:paraId="30F2D644">
      <w:pPr>
        <w:spacing w:line="5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乙方对承运服务的安全负责，对其工作人员（含劳务及雇佣人员）的安全负责。乙方工作人员（含劳务及雇佣人员）在承运过程中发生的人身损害均由乙方承担责任，如由此给甲方造成损失的，乙方应赔偿甲方损失。</w:t>
      </w:r>
    </w:p>
    <w:p w14:paraId="4662746B">
      <w:pPr>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承运过程中甲方或任何第三方的设备损坏、人身伤亡、火灾、环保污染等事故，由甲方按事故调查规程处理，乙方参与调查。根据事故调查结果确定双方的责任。因乙方的过错、责任造成的人身伤亡、设备损坏及其造成的经济损失,由乙方承担。</w:t>
      </w:r>
    </w:p>
    <w:p w14:paraId="73E8291C">
      <w:pPr>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3、乙方工作人员（含劳务及雇佣人员）承运服务过程中发生的人身损害均由乙方承担责任，如由此给甲方造成损失或甲方被要求承担责任的，乙方应赔偿甲方损失。</w:t>
      </w:r>
    </w:p>
    <w:p w14:paraId="58109A80">
      <w:pPr>
        <w:spacing w:line="500" w:lineRule="exact"/>
        <w:ind w:firstLine="480" w:firstLineChars="200"/>
        <w:rPr>
          <w:sz w:val="20"/>
          <w:szCs w:val="22"/>
        </w:rPr>
      </w:pPr>
      <w:r>
        <w:rPr>
          <w:rFonts w:hint="eastAsia" w:ascii="仿宋_GB2312" w:hAnsi="仿宋_GB2312" w:eastAsia="仿宋_GB2312" w:cs="仿宋_GB2312"/>
          <w:sz w:val="24"/>
        </w:rPr>
        <w:t>4、乙方未及时整改隐患，甲方有权对乙方处罚，甲方可以在未支付的合同金额中直接扣除相应金额。乙方在承运服务过程中发生安全、消防、环保事故，造成的人身伤亡、设备事故等，甲方可以在未支付的合同金额中直接扣除相应金额。</w:t>
      </w:r>
    </w:p>
    <w:p w14:paraId="0D32AA88">
      <w:pPr>
        <w:spacing w:line="500" w:lineRule="exact"/>
        <w:ind w:firstLine="480" w:firstLineChars="200"/>
        <w:rPr>
          <w:rFonts w:hint="eastAsia" w:ascii="黑体" w:hAnsi="黑体" w:eastAsia="黑体" w:cs="黑体"/>
          <w:sz w:val="24"/>
        </w:rPr>
      </w:pPr>
      <w:r>
        <w:rPr>
          <w:rFonts w:hint="eastAsia" w:ascii="黑体" w:hAnsi="黑体" w:eastAsia="黑体" w:cs="黑体"/>
          <w:sz w:val="24"/>
        </w:rPr>
        <w:t>五、其他</w:t>
      </w:r>
    </w:p>
    <w:p w14:paraId="2A1FF926">
      <w:pPr>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本协议书同主合同一起签订，一式肆份，双方各执贰份。本协议未约定事项，以主合同为准。本协议复印件应送甲方生产技术部备案。</w:t>
      </w:r>
    </w:p>
    <w:p w14:paraId="0CD2B2D1">
      <w:pPr>
        <w:pStyle w:val="205"/>
        <w:jc w:val="center"/>
        <w:rPr>
          <w:rFonts w:hint="eastAsia" w:ascii="黑体" w:hAnsi="黑体" w:eastAsia="黑体" w:cs="黑体"/>
          <w:sz w:val="24"/>
          <w:szCs w:val="24"/>
        </w:rPr>
      </w:pPr>
      <w:r>
        <w:rPr>
          <w:rFonts w:hint="eastAsia" w:ascii="黑体" w:hAnsi="黑体" w:eastAsia="黑体" w:cs="黑体"/>
          <w:sz w:val="24"/>
          <w:szCs w:val="24"/>
        </w:rPr>
        <w:t>（本页以下无正文，为签章部分）</w:t>
      </w:r>
    </w:p>
    <w:p w14:paraId="6ABFA54C">
      <w:pPr>
        <w:pStyle w:val="205"/>
        <w:jc w:val="center"/>
        <w:rPr>
          <w:rFonts w:hint="eastAsia" w:ascii="黑体" w:hAnsi="黑体" w:eastAsia="黑体" w:cs="黑体"/>
          <w:sz w:val="24"/>
          <w:szCs w:val="24"/>
        </w:rPr>
      </w:pPr>
    </w:p>
    <w:p w14:paraId="785DEAF7">
      <w:pPr>
        <w:pStyle w:val="205"/>
        <w:jc w:val="center"/>
        <w:rPr>
          <w:rFonts w:hint="eastAsia" w:ascii="黑体" w:hAnsi="黑体" w:eastAsia="黑体" w:cs="黑体"/>
          <w:sz w:val="24"/>
          <w:szCs w:val="24"/>
        </w:rPr>
      </w:pPr>
    </w:p>
    <w:tbl>
      <w:tblPr>
        <w:tblStyle w:val="31"/>
        <w:tblW w:w="8925"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2805"/>
        <w:gridCol w:w="2017"/>
        <w:gridCol w:w="2408"/>
      </w:tblGrid>
      <w:tr w14:paraId="332F3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0" w:type="dxa"/>
            <w:gridSpan w:val="2"/>
            <w:tcBorders>
              <w:top w:val="single" w:color="auto" w:sz="4" w:space="0"/>
              <w:left w:val="single" w:color="auto" w:sz="4" w:space="0"/>
              <w:bottom w:val="single" w:color="auto" w:sz="4" w:space="0"/>
              <w:right w:val="single" w:color="auto" w:sz="4" w:space="0"/>
            </w:tcBorders>
          </w:tcPr>
          <w:p w14:paraId="562DDCF1">
            <w:pPr>
              <w:spacing w:line="400" w:lineRule="atLeast"/>
              <w:rPr>
                <w:rFonts w:hint="eastAsia" w:ascii="仿宋_GB2312" w:hAnsi="仿宋_GB2312" w:eastAsia="仿宋_GB2312" w:cs="仿宋_GB2312"/>
                <w:sz w:val="24"/>
              </w:rPr>
            </w:pPr>
            <w:r>
              <w:rPr>
                <w:rFonts w:hint="eastAsia" w:ascii="仿宋_GB2312" w:hAnsi="仿宋_GB2312" w:eastAsia="仿宋_GB2312" w:cs="仿宋_GB2312"/>
                <w:sz w:val="24"/>
              </w:rPr>
              <w:t>甲方（盖章）：</w:t>
            </w:r>
          </w:p>
          <w:p w14:paraId="47BFF895">
            <w:pPr>
              <w:spacing w:line="400" w:lineRule="atLeast"/>
              <w:rPr>
                <w:rFonts w:hint="eastAsia" w:ascii="仿宋_GB2312" w:hAnsi="仿宋_GB2312" w:eastAsia="仿宋_GB2312" w:cs="仿宋_GB2312"/>
                <w:sz w:val="24"/>
              </w:rPr>
            </w:pPr>
            <w:r>
              <w:rPr>
                <w:rFonts w:hint="eastAsia" w:ascii="仿宋_GB2312" w:hAnsi="仿宋_GB2312" w:eastAsia="仿宋_GB2312" w:cs="仿宋_GB2312"/>
                <w:sz w:val="24"/>
              </w:rPr>
              <w:t>宁德市福化环保科技有限公司</w:t>
            </w:r>
          </w:p>
        </w:tc>
        <w:tc>
          <w:tcPr>
            <w:tcW w:w="4425" w:type="dxa"/>
            <w:gridSpan w:val="2"/>
            <w:tcBorders>
              <w:top w:val="single" w:color="auto" w:sz="4" w:space="0"/>
              <w:left w:val="single" w:color="auto" w:sz="4" w:space="0"/>
              <w:bottom w:val="single" w:color="auto" w:sz="4" w:space="0"/>
              <w:right w:val="single" w:color="auto" w:sz="4" w:space="0"/>
            </w:tcBorders>
          </w:tcPr>
          <w:p w14:paraId="3D9EE149">
            <w:pPr>
              <w:spacing w:line="400" w:lineRule="atLeast"/>
              <w:rPr>
                <w:rFonts w:hint="eastAsia" w:ascii="仿宋_GB2312" w:hAnsi="仿宋_GB2312" w:eastAsia="仿宋_GB2312" w:cs="仿宋_GB2312"/>
                <w:sz w:val="24"/>
              </w:rPr>
            </w:pPr>
            <w:r>
              <w:rPr>
                <w:rFonts w:hint="eastAsia" w:ascii="仿宋_GB2312" w:hAnsi="仿宋_GB2312" w:eastAsia="仿宋_GB2312" w:cs="仿宋_GB2312"/>
                <w:sz w:val="24"/>
              </w:rPr>
              <w:t>乙方（盖章）：</w:t>
            </w:r>
          </w:p>
          <w:p w14:paraId="7DED293D">
            <w:pPr>
              <w:spacing w:line="400" w:lineRule="atLeast"/>
              <w:rPr>
                <w:sz w:val="20"/>
                <w:szCs w:val="22"/>
              </w:rPr>
            </w:pPr>
            <w:r>
              <w:rPr>
                <w:rFonts w:hint="eastAsia" w:ascii="仿宋_GB2312" w:hAnsi="仿宋_GB2312" w:eastAsia="仿宋_GB2312" w:cs="仿宋_GB2312"/>
                <w:b/>
                <w:bCs/>
                <w:sz w:val="24"/>
              </w:rPr>
              <w:t>[ ]</w:t>
            </w:r>
          </w:p>
        </w:tc>
      </w:tr>
      <w:tr w14:paraId="003B8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tcBorders>
              <w:top w:val="single" w:color="auto" w:sz="4" w:space="0"/>
              <w:left w:val="single" w:color="auto" w:sz="4" w:space="0"/>
              <w:bottom w:val="single" w:color="auto" w:sz="4" w:space="0"/>
              <w:right w:val="single" w:color="auto" w:sz="4" w:space="0"/>
            </w:tcBorders>
            <w:vAlign w:val="center"/>
          </w:tcPr>
          <w:p w14:paraId="39AE003C">
            <w:pPr>
              <w:spacing w:line="400" w:lineRule="atLeast"/>
              <w:rPr>
                <w:rFonts w:hint="eastAsia" w:ascii="仿宋_GB2312" w:hAnsi="仿宋_GB2312" w:eastAsia="仿宋_GB2312" w:cs="仿宋_GB2312"/>
                <w:sz w:val="24"/>
              </w:rPr>
            </w:pPr>
            <w:r>
              <w:rPr>
                <w:rFonts w:hint="eastAsia" w:ascii="仿宋_GB2312" w:hAnsi="仿宋_GB2312" w:eastAsia="仿宋_GB2312" w:cs="仿宋_GB2312"/>
                <w:sz w:val="24"/>
              </w:rPr>
              <w:t>法定代表人</w:t>
            </w:r>
          </w:p>
          <w:p w14:paraId="6AF6A1BB">
            <w:pPr>
              <w:spacing w:line="400" w:lineRule="atLeast"/>
              <w:rPr>
                <w:rFonts w:hint="eastAsia" w:ascii="仿宋_GB2312" w:hAnsi="仿宋_GB2312" w:eastAsia="仿宋_GB2312" w:cs="仿宋_GB2312"/>
                <w:sz w:val="24"/>
              </w:rPr>
            </w:pPr>
            <w:r>
              <w:rPr>
                <w:rFonts w:hint="eastAsia" w:ascii="仿宋_GB2312" w:hAnsi="仿宋_GB2312" w:eastAsia="仿宋_GB2312" w:cs="仿宋_GB2312"/>
                <w:sz w:val="24"/>
              </w:rPr>
              <w:t>（签字）：</w:t>
            </w:r>
          </w:p>
        </w:tc>
        <w:tc>
          <w:tcPr>
            <w:tcW w:w="2805" w:type="dxa"/>
            <w:tcBorders>
              <w:top w:val="single" w:color="auto" w:sz="4" w:space="0"/>
              <w:left w:val="single" w:color="auto" w:sz="4" w:space="0"/>
              <w:bottom w:val="single" w:color="auto" w:sz="4" w:space="0"/>
              <w:right w:val="single" w:color="auto" w:sz="4" w:space="0"/>
            </w:tcBorders>
          </w:tcPr>
          <w:p w14:paraId="51D2A04F">
            <w:pPr>
              <w:spacing w:line="400" w:lineRule="atLeast"/>
              <w:rPr>
                <w:rFonts w:ascii="仿宋_GB2312" w:hAnsi="仿宋_GB2312" w:eastAsia="仿宋_GB2312" w:cs="仿宋_GB2312"/>
                <w:sz w:val="24"/>
              </w:rPr>
            </w:pPr>
          </w:p>
        </w:tc>
        <w:tc>
          <w:tcPr>
            <w:tcW w:w="2017" w:type="dxa"/>
            <w:tcBorders>
              <w:top w:val="single" w:color="auto" w:sz="4" w:space="0"/>
              <w:left w:val="single" w:color="auto" w:sz="4" w:space="0"/>
              <w:bottom w:val="single" w:color="auto" w:sz="4" w:space="0"/>
              <w:right w:val="single" w:color="auto" w:sz="4" w:space="0"/>
            </w:tcBorders>
            <w:vAlign w:val="center"/>
          </w:tcPr>
          <w:p w14:paraId="1BF1F596">
            <w:pPr>
              <w:spacing w:line="400" w:lineRule="atLeast"/>
              <w:rPr>
                <w:rFonts w:hint="eastAsia" w:ascii="仿宋_GB2312" w:hAnsi="仿宋_GB2312" w:eastAsia="仿宋_GB2312" w:cs="仿宋_GB2312"/>
                <w:sz w:val="24"/>
              </w:rPr>
            </w:pPr>
            <w:r>
              <w:rPr>
                <w:rFonts w:hint="eastAsia" w:ascii="仿宋_GB2312" w:hAnsi="仿宋_GB2312" w:eastAsia="仿宋_GB2312" w:cs="仿宋_GB2312"/>
                <w:sz w:val="24"/>
              </w:rPr>
              <w:t>法定代表人</w:t>
            </w:r>
          </w:p>
          <w:p w14:paraId="019313DD">
            <w:pPr>
              <w:spacing w:line="400" w:lineRule="atLeast"/>
              <w:rPr>
                <w:sz w:val="20"/>
                <w:szCs w:val="22"/>
              </w:rPr>
            </w:pPr>
            <w:r>
              <w:rPr>
                <w:rFonts w:hint="eastAsia" w:ascii="仿宋_GB2312" w:hAnsi="仿宋_GB2312" w:eastAsia="仿宋_GB2312" w:cs="仿宋_GB2312"/>
                <w:sz w:val="24"/>
              </w:rPr>
              <w:t>（签字）：</w:t>
            </w:r>
          </w:p>
        </w:tc>
        <w:tc>
          <w:tcPr>
            <w:tcW w:w="2408" w:type="dxa"/>
            <w:tcBorders>
              <w:top w:val="single" w:color="auto" w:sz="4" w:space="0"/>
              <w:left w:val="single" w:color="auto" w:sz="4" w:space="0"/>
              <w:bottom w:val="single" w:color="auto" w:sz="4" w:space="0"/>
              <w:right w:val="single" w:color="auto" w:sz="4" w:space="0"/>
            </w:tcBorders>
          </w:tcPr>
          <w:p w14:paraId="21C96E2F">
            <w:pPr>
              <w:spacing w:line="400" w:lineRule="atLeast"/>
              <w:rPr>
                <w:sz w:val="20"/>
                <w:szCs w:val="22"/>
              </w:rPr>
            </w:pPr>
            <w:r>
              <w:rPr>
                <w:rFonts w:hint="eastAsia" w:ascii="仿宋_GB2312" w:hAnsi="仿宋_GB2312" w:eastAsia="仿宋_GB2312" w:cs="仿宋_GB2312"/>
                <w:b/>
                <w:bCs/>
                <w:sz w:val="24"/>
              </w:rPr>
              <w:t>[ ]</w:t>
            </w:r>
          </w:p>
        </w:tc>
      </w:tr>
    </w:tbl>
    <w:p w14:paraId="0BCBD3A7">
      <w:pPr>
        <w:spacing w:line="500" w:lineRule="exact"/>
        <w:rPr>
          <w:rFonts w:hint="eastAsia" w:ascii="黑体" w:hAnsi="黑体" w:eastAsia="黑体" w:cs="黑体"/>
          <w:bCs/>
          <w:sz w:val="24"/>
        </w:rPr>
      </w:pPr>
      <w:r>
        <w:rPr>
          <w:rFonts w:hint="eastAsia" w:ascii="仿宋_GB2312" w:hAnsi="仿宋_GB2312" w:eastAsia="仿宋_GB2312" w:cs="仿宋_GB2312"/>
          <w:sz w:val="24"/>
        </w:rPr>
        <w:br w:type="page"/>
      </w:r>
      <w:r>
        <w:rPr>
          <w:rFonts w:hint="eastAsia" w:ascii="黑体" w:hAnsi="黑体" w:eastAsia="黑体" w:cs="黑体"/>
          <w:bCs/>
          <w:sz w:val="24"/>
        </w:rPr>
        <w:t>附件：</w:t>
      </w:r>
    </w:p>
    <w:p w14:paraId="30D41E41">
      <w:pPr>
        <w:spacing w:line="500" w:lineRule="exact"/>
        <w:jc w:val="center"/>
        <w:rPr>
          <w:rFonts w:ascii="黑体" w:eastAsia="黑体"/>
          <w:sz w:val="28"/>
          <w:szCs w:val="28"/>
        </w:rPr>
      </w:pPr>
      <w:r>
        <w:rPr>
          <w:rFonts w:hint="eastAsia" w:ascii="方正小标宋简体" w:hAnsi="方正小标宋简体" w:eastAsia="方正小标宋简体" w:cs="方正小标宋简体"/>
          <w:bCs/>
          <w:sz w:val="40"/>
          <w:szCs w:val="40"/>
        </w:rPr>
        <w:t>廉洁合同</w:t>
      </w:r>
    </w:p>
    <w:p w14:paraId="3B6F0B76">
      <w:pPr>
        <w:spacing w:beforeLines="25" w:line="400" w:lineRule="exact"/>
        <w:rPr>
          <w:rFonts w:hint="eastAsia" w:ascii="黑体" w:hAnsi="黑体" w:eastAsia="黑体" w:cs="黑体"/>
          <w:sz w:val="24"/>
        </w:rPr>
      </w:pPr>
      <w:r>
        <w:rPr>
          <w:rFonts w:hint="eastAsia" w:ascii="黑体" w:hAnsi="黑体" w:eastAsia="黑体" w:cs="黑体"/>
          <w:sz w:val="24"/>
        </w:rPr>
        <w:t>甲方（托运方）：宁德市福化环保科技有限公司</w:t>
      </w:r>
    </w:p>
    <w:p w14:paraId="088AE96B">
      <w:pPr>
        <w:adjustRightInd w:val="0"/>
        <w:spacing w:line="400" w:lineRule="exact"/>
        <w:textAlignment w:val="baseline"/>
        <w:rPr>
          <w:rFonts w:hint="eastAsia" w:ascii="仿宋_GB2312" w:hAnsi="仿宋_GB2312" w:eastAsia="仿宋_GB2312" w:cs="仿宋_GB2312"/>
          <w:sz w:val="24"/>
        </w:rPr>
      </w:pPr>
      <w:r>
        <w:rPr>
          <w:rFonts w:hint="eastAsia" w:ascii="黑体" w:hAnsi="黑体" w:eastAsia="黑体" w:cs="黑体"/>
          <w:sz w:val="24"/>
        </w:rPr>
        <w:t>乙方：[ ]</w:t>
      </w:r>
    </w:p>
    <w:p w14:paraId="71E31918">
      <w:pPr>
        <w:adjustRightInd w:val="0"/>
        <w:spacing w:line="400" w:lineRule="exact"/>
        <w:ind w:firstLine="482"/>
        <w:textAlignment w:val="baseline"/>
        <w:rPr>
          <w:rFonts w:hint="eastAsia" w:ascii="仿宋_GB2312" w:hAnsi="仿宋_GB2312" w:eastAsia="仿宋_GB2312" w:cs="仿宋_GB2312"/>
          <w:sz w:val="24"/>
        </w:rPr>
      </w:pPr>
      <w:r>
        <w:rPr>
          <w:rFonts w:hint="eastAsia" w:ascii="仿宋_GB2312" w:hAnsi="仿宋_GB2312" w:eastAsia="仿宋_GB2312" w:cs="仿宋_GB2312"/>
          <w:sz w:val="24"/>
        </w:rPr>
        <w:t>为规范甲乙双方的商业行为，维护公平竞争，建立健全防治商业贿赂的长效机制，深入推进反腐倡廉工作，根据国家有关法律法规、宁德市福化环保科技有限公司有关规定，经双方协商，签订本廉洁合同。</w:t>
      </w:r>
    </w:p>
    <w:p w14:paraId="62ED3A67">
      <w:pPr>
        <w:adjustRightInd w:val="0"/>
        <w:spacing w:line="400" w:lineRule="exact"/>
        <w:ind w:firstLine="482"/>
        <w:textAlignment w:val="baseline"/>
        <w:rPr>
          <w:rFonts w:hint="eastAsia" w:ascii="黑体" w:hAnsi="黑体" w:eastAsia="黑体" w:cs="黑体"/>
          <w:sz w:val="24"/>
        </w:rPr>
      </w:pPr>
      <w:r>
        <w:rPr>
          <w:rFonts w:hint="eastAsia" w:ascii="黑体" w:hAnsi="黑体" w:eastAsia="黑体" w:cs="黑体"/>
          <w:sz w:val="24"/>
        </w:rPr>
        <w:t>第一条</w:t>
      </w:r>
      <w:r>
        <w:rPr>
          <w:rFonts w:hint="eastAsia" w:ascii="黑体" w:hAnsi="黑体" w:eastAsia="黑体" w:cs="黑体"/>
          <w:sz w:val="24"/>
        </w:rPr>
        <w:tab/>
      </w:r>
      <w:r>
        <w:rPr>
          <w:rFonts w:hint="eastAsia" w:ascii="黑体" w:hAnsi="黑体" w:eastAsia="黑体" w:cs="黑体"/>
          <w:sz w:val="24"/>
        </w:rPr>
        <w:t>甲乙双方共同义务</w:t>
      </w:r>
    </w:p>
    <w:p w14:paraId="0ED9796F">
      <w:pPr>
        <w:adjustRightInd w:val="0"/>
        <w:spacing w:line="400" w:lineRule="exact"/>
        <w:ind w:firstLine="482"/>
        <w:textAlignment w:val="baseline"/>
        <w:rPr>
          <w:rFonts w:hint="eastAsia" w:ascii="仿宋_GB2312" w:hAnsi="仿宋_GB2312" w:eastAsia="仿宋_GB2312" w:cs="仿宋_GB2312"/>
          <w:sz w:val="24"/>
        </w:rPr>
      </w:pPr>
      <w:r>
        <w:rPr>
          <w:rFonts w:hint="eastAsia" w:ascii="仿宋_GB2312" w:hAnsi="仿宋_GB2312" w:eastAsia="仿宋_GB2312" w:cs="仿宋_GB2312"/>
          <w:sz w:val="24"/>
        </w:rPr>
        <w:t>（一）严格遵守国家有关法律法规以及廉洁从业的有关规定。</w:t>
      </w:r>
    </w:p>
    <w:p w14:paraId="70238933">
      <w:pPr>
        <w:adjustRightInd w:val="0"/>
        <w:spacing w:line="400" w:lineRule="exact"/>
        <w:ind w:firstLine="482"/>
        <w:textAlignment w:val="baseline"/>
        <w:rPr>
          <w:rFonts w:hint="eastAsia" w:ascii="仿宋_GB2312" w:hAnsi="仿宋_GB2312" w:eastAsia="仿宋_GB2312" w:cs="仿宋_GB2312"/>
          <w:sz w:val="24"/>
        </w:rPr>
      </w:pPr>
      <w:r>
        <w:rPr>
          <w:rFonts w:hint="eastAsia" w:ascii="仿宋_GB2312" w:hAnsi="仿宋_GB2312" w:eastAsia="仿宋_GB2312" w:cs="仿宋_GB2312"/>
          <w:sz w:val="24"/>
        </w:rPr>
        <w:t>（二）严格遵守商业道德和市场规则，共同营造公平公正的商务交易环境。</w:t>
      </w:r>
    </w:p>
    <w:p w14:paraId="7F6B0F87">
      <w:pPr>
        <w:adjustRightInd w:val="0"/>
        <w:spacing w:line="400" w:lineRule="exact"/>
        <w:ind w:firstLine="482"/>
        <w:textAlignment w:val="baseline"/>
        <w:rPr>
          <w:rFonts w:hint="eastAsia" w:ascii="仿宋_GB2312" w:hAnsi="仿宋_GB2312" w:eastAsia="仿宋_GB2312" w:cs="仿宋_GB2312"/>
          <w:sz w:val="24"/>
        </w:rPr>
      </w:pPr>
      <w:r>
        <w:rPr>
          <w:rFonts w:hint="eastAsia" w:ascii="仿宋_GB2312" w:hAnsi="仿宋_GB2312" w:eastAsia="仿宋_GB2312" w:cs="仿宋_GB2312"/>
          <w:sz w:val="24"/>
        </w:rPr>
        <w:t>（三）加强有关人员的管理和廉洁从业教育，自觉抵制不廉洁行为。在商务活动中发现对方存在违规违纪违法行为，应及时向监察部门或司法机关举报。</w:t>
      </w:r>
    </w:p>
    <w:p w14:paraId="7C2E8F3E">
      <w:pPr>
        <w:adjustRightInd w:val="0"/>
        <w:spacing w:line="400" w:lineRule="exact"/>
        <w:ind w:firstLine="482"/>
        <w:textAlignment w:val="baseline"/>
        <w:rPr>
          <w:rFonts w:hint="eastAsia" w:ascii="黑体" w:hAnsi="黑体" w:eastAsia="黑体" w:cs="黑体"/>
          <w:sz w:val="24"/>
        </w:rPr>
      </w:pPr>
      <w:r>
        <w:rPr>
          <w:rFonts w:hint="eastAsia" w:ascii="黑体" w:hAnsi="黑体" w:eastAsia="黑体" w:cs="黑体"/>
          <w:sz w:val="24"/>
        </w:rPr>
        <w:t>第二条</w:t>
      </w:r>
      <w:r>
        <w:rPr>
          <w:rFonts w:hint="eastAsia" w:ascii="黑体" w:hAnsi="黑体" w:eastAsia="黑体" w:cs="黑体"/>
          <w:sz w:val="24"/>
        </w:rPr>
        <w:tab/>
      </w:r>
      <w:r>
        <w:rPr>
          <w:rFonts w:hint="eastAsia" w:ascii="黑体" w:hAnsi="黑体" w:eastAsia="黑体" w:cs="黑体"/>
          <w:sz w:val="24"/>
        </w:rPr>
        <w:t>甲方及其工作人员的义务</w:t>
      </w:r>
    </w:p>
    <w:p w14:paraId="39B055CC">
      <w:pPr>
        <w:adjustRightInd w:val="0"/>
        <w:spacing w:line="400" w:lineRule="exact"/>
        <w:ind w:firstLine="482"/>
        <w:textAlignment w:val="baseline"/>
        <w:rPr>
          <w:rFonts w:hint="eastAsia" w:ascii="仿宋_GB2312" w:hAnsi="仿宋_GB2312" w:eastAsia="仿宋_GB2312" w:cs="仿宋_GB2312"/>
          <w:sz w:val="24"/>
        </w:rPr>
      </w:pPr>
      <w:r>
        <w:rPr>
          <w:rFonts w:hint="eastAsia" w:ascii="仿宋_GB2312" w:hAnsi="仿宋_GB2312" w:eastAsia="仿宋_GB2312" w:cs="仿宋_GB2312"/>
          <w:sz w:val="24"/>
        </w:rPr>
        <w:t>（一）不得索要或接受乙方及其相关单位和人员提供的回扣、礼金、有价证券、支付凭证、贵重物品等。</w:t>
      </w:r>
    </w:p>
    <w:p w14:paraId="72082CB3">
      <w:pPr>
        <w:adjustRightInd w:val="0"/>
        <w:spacing w:line="400" w:lineRule="exact"/>
        <w:ind w:firstLine="482"/>
        <w:textAlignment w:val="baseline"/>
        <w:rPr>
          <w:rFonts w:hint="eastAsia" w:ascii="仿宋_GB2312" w:hAnsi="仿宋_GB2312" w:eastAsia="仿宋_GB2312" w:cs="仿宋_GB2312"/>
          <w:sz w:val="24"/>
        </w:rPr>
      </w:pPr>
      <w:r>
        <w:rPr>
          <w:rFonts w:hint="eastAsia" w:ascii="仿宋_GB2312" w:hAnsi="仿宋_GB2312" w:eastAsia="仿宋_GB2312" w:cs="仿宋_GB2312"/>
          <w:sz w:val="24"/>
        </w:rPr>
        <w:t>（二）不得在乙方及其相关单位报销任何应由甲方或个人支付的费用。</w:t>
      </w:r>
    </w:p>
    <w:p w14:paraId="1FABE2BF">
      <w:pPr>
        <w:adjustRightInd w:val="0"/>
        <w:spacing w:line="400" w:lineRule="exact"/>
        <w:ind w:firstLine="482"/>
        <w:textAlignment w:val="baseline"/>
        <w:rPr>
          <w:rFonts w:hint="eastAsia" w:ascii="仿宋_GB2312" w:hAnsi="仿宋_GB2312" w:eastAsia="仿宋_GB2312" w:cs="仿宋_GB2312"/>
          <w:sz w:val="24"/>
        </w:rPr>
      </w:pPr>
      <w:r>
        <w:rPr>
          <w:rFonts w:hint="eastAsia" w:ascii="仿宋_GB2312" w:hAnsi="仿宋_GB2312" w:eastAsia="仿宋_GB2312" w:cs="仿宋_GB2312"/>
          <w:sz w:val="24"/>
        </w:rPr>
        <w:t>（三）不得违反规定在乙方及其相关单位投资入股，不得向乙方单位及人员借款或委托买卖股票、债券等。</w:t>
      </w:r>
    </w:p>
    <w:p w14:paraId="381D3102">
      <w:pPr>
        <w:adjustRightInd w:val="0"/>
        <w:spacing w:line="400" w:lineRule="exact"/>
        <w:ind w:firstLine="482"/>
        <w:textAlignment w:val="baseline"/>
        <w:rPr>
          <w:rFonts w:hint="eastAsia" w:ascii="仿宋_GB2312" w:hAnsi="仿宋_GB2312" w:eastAsia="仿宋_GB2312" w:cs="仿宋_GB2312"/>
          <w:sz w:val="24"/>
        </w:rPr>
      </w:pPr>
      <w:r>
        <w:rPr>
          <w:rFonts w:hint="eastAsia" w:ascii="仿宋_GB2312" w:hAnsi="仿宋_GB2312" w:eastAsia="仿宋_GB2312" w:cs="仿宋_GB2312"/>
          <w:sz w:val="24"/>
        </w:rPr>
        <w:t>（四）不得要求、暗示和接受乙方及其相关单位和个人为其购买或装修住房、婚丧嫁娶、配偶和子女的上学或工作安排以及出国（境）、旅游等提供方便。</w:t>
      </w:r>
    </w:p>
    <w:p w14:paraId="30A96C5D">
      <w:pPr>
        <w:adjustRightInd w:val="0"/>
        <w:spacing w:line="400" w:lineRule="exact"/>
        <w:ind w:firstLine="482"/>
        <w:textAlignment w:val="baseline"/>
        <w:rPr>
          <w:rFonts w:hint="eastAsia" w:ascii="仿宋_GB2312" w:hAnsi="仿宋_GB2312" w:eastAsia="仿宋_GB2312" w:cs="仿宋_GB2312"/>
          <w:sz w:val="24"/>
        </w:rPr>
      </w:pPr>
      <w:r>
        <w:rPr>
          <w:rFonts w:hint="eastAsia" w:ascii="仿宋_GB2312" w:hAnsi="仿宋_GB2312" w:eastAsia="仿宋_GB2312" w:cs="仿宋_GB2312"/>
          <w:sz w:val="24"/>
        </w:rPr>
        <w:t>（五）不得参加乙方及其相关单位安排的可能影响公正执行公务的宴请及健身、娱乐等活动。</w:t>
      </w:r>
    </w:p>
    <w:p w14:paraId="589A384D">
      <w:pPr>
        <w:adjustRightInd w:val="0"/>
        <w:spacing w:line="400" w:lineRule="exact"/>
        <w:ind w:firstLine="482"/>
        <w:textAlignment w:val="baseline"/>
        <w:rPr>
          <w:rFonts w:hint="eastAsia" w:ascii="仿宋_GB2312" w:hAnsi="仿宋_GB2312" w:eastAsia="仿宋_GB2312" w:cs="仿宋_GB2312"/>
          <w:sz w:val="24"/>
        </w:rPr>
      </w:pPr>
      <w:r>
        <w:rPr>
          <w:rFonts w:hint="eastAsia" w:ascii="仿宋_GB2312" w:hAnsi="仿宋_GB2312" w:eastAsia="仿宋_GB2312" w:cs="仿宋_GB2312"/>
          <w:sz w:val="24"/>
        </w:rPr>
        <w:t>（六）不得接受乙方及其相关单位购置或提供的通讯工具、交通工具和高档办公用品。</w:t>
      </w:r>
    </w:p>
    <w:p w14:paraId="6208E275">
      <w:pPr>
        <w:adjustRightInd w:val="0"/>
        <w:spacing w:line="400" w:lineRule="exact"/>
        <w:ind w:firstLine="482"/>
        <w:textAlignment w:val="baseline"/>
        <w:rPr>
          <w:rFonts w:hint="eastAsia" w:ascii="仿宋_GB2312" w:hAnsi="仿宋_GB2312" w:eastAsia="仿宋_GB2312" w:cs="仿宋_GB2312"/>
          <w:sz w:val="24"/>
        </w:rPr>
      </w:pPr>
      <w:r>
        <w:rPr>
          <w:rFonts w:hint="eastAsia" w:ascii="仿宋_GB2312" w:hAnsi="仿宋_GB2312" w:eastAsia="仿宋_GB2312" w:cs="仿宋_GB2312"/>
          <w:sz w:val="24"/>
        </w:rPr>
        <w:t>（七）不得利用职权通过乙方及其相关单位为其配偶、子女及他人谋取不正当利益。</w:t>
      </w:r>
    </w:p>
    <w:p w14:paraId="66D8E9BE">
      <w:pPr>
        <w:adjustRightInd w:val="0"/>
        <w:spacing w:line="400" w:lineRule="exact"/>
        <w:ind w:firstLine="482"/>
        <w:textAlignment w:val="baseline"/>
        <w:rPr>
          <w:rFonts w:hint="eastAsia" w:ascii="仿宋_GB2312" w:hAnsi="仿宋_GB2312" w:eastAsia="仿宋_GB2312" w:cs="仿宋_GB2312"/>
          <w:sz w:val="24"/>
        </w:rPr>
      </w:pPr>
      <w:r>
        <w:rPr>
          <w:rFonts w:hint="eastAsia" w:ascii="仿宋_GB2312" w:hAnsi="仿宋_GB2312" w:eastAsia="仿宋_GB2312" w:cs="仿宋_GB2312"/>
          <w:sz w:val="24"/>
        </w:rPr>
        <w:t>（八）不得违反规定在乙方或乙方相关单位兼职和领取兼职工资及报酬；不得利用甲方的商业秘密、业务渠道等谋取个人私利，或将其提供泄漏给乙方及其它企业和个人。</w:t>
      </w:r>
    </w:p>
    <w:p w14:paraId="62D1E72D">
      <w:pPr>
        <w:adjustRightInd w:val="0"/>
        <w:spacing w:line="400" w:lineRule="exact"/>
        <w:ind w:firstLine="482"/>
        <w:textAlignment w:val="baseline"/>
        <w:rPr>
          <w:rFonts w:hint="eastAsia" w:ascii="仿宋_GB2312" w:hAnsi="仿宋_GB2312" w:eastAsia="仿宋_GB2312" w:cs="仿宋_GB2312"/>
          <w:sz w:val="24"/>
        </w:rPr>
      </w:pPr>
      <w:r>
        <w:rPr>
          <w:rFonts w:hint="eastAsia" w:ascii="仿宋_GB2312" w:hAnsi="仿宋_GB2312" w:eastAsia="仿宋_GB2312" w:cs="仿宋_GB2312"/>
          <w:sz w:val="24"/>
        </w:rPr>
        <w:t>（九）不得利用职权和工作之便向乙方提出上述各项规定禁止事项或要求之外的与工作业务无关的事项或要求。</w:t>
      </w:r>
    </w:p>
    <w:p w14:paraId="6EFBFE73">
      <w:pPr>
        <w:adjustRightInd w:val="0"/>
        <w:spacing w:line="400" w:lineRule="exact"/>
        <w:ind w:firstLine="482"/>
        <w:textAlignment w:val="baseline"/>
        <w:rPr>
          <w:rFonts w:hint="eastAsia" w:ascii="黑体" w:hAnsi="黑体" w:eastAsia="黑体" w:cs="黑体"/>
          <w:sz w:val="24"/>
        </w:rPr>
      </w:pPr>
      <w:r>
        <w:rPr>
          <w:rFonts w:hint="eastAsia" w:ascii="黑体" w:hAnsi="黑体" w:eastAsia="黑体" w:cs="黑体"/>
          <w:sz w:val="24"/>
        </w:rPr>
        <w:t>第三条</w:t>
      </w:r>
      <w:r>
        <w:rPr>
          <w:rFonts w:hint="eastAsia" w:ascii="黑体" w:hAnsi="黑体" w:eastAsia="黑体" w:cs="黑体"/>
          <w:sz w:val="24"/>
        </w:rPr>
        <w:tab/>
      </w:r>
      <w:r>
        <w:rPr>
          <w:rFonts w:hint="eastAsia" w:ascii="黑体" w:hAnsi="黑体" w:eastAsia="黑体" w:cs="黑体"/>
          <w:sz w:val="24"/>
        </w:rPr>
        <w:t>乙方及其工作人员的义务</w:t>
      </w:r>
    </w:p>
    <w:p w14:paraId="339ECFA5">
      <w:pPr>
        <w:adjustRightInd w:val="0"/>
        <w:spacing w:line="400" w:lineRule="exact"/>
        <w:ind w:firstLine="482"/>
        <w:textAlignment w:val="baseline"/>
        <w:rPr>
          <w:rFonts w:hint="eastAsia" w:ascii="仿宋_GB2312" w:hAnsi="仿宋_GB2312" w:eastAsia="仿宋_GB2312" w:cs="仿宋_GB2312"/>
          <w:sz w:val="24"/>
        </w:rPr>
      </w:pPr>
      <w:r>
        <w:rPr>
          <w:rFonts w:hint="eastAsia" w:ascii="仿宋_GB2312" w:hAnsi="仿宋_GB2312" w:eastAsia="仿宋_GB2312" w:cs="仿宋_GB2312"/>
          <w:sz w:val="24"/>
        </w:rPr>
        <w:t>（一）不得向甲方及其人员提供回扣、礼金、有价证券、支付凭证、贵重物品等。</w:t>
      </w:r>
    </w:p>
    <w:p w14:paraId="5DC17B6A">
      <w:pPr>
        <w:adjustRightInd w:val="0"/>
        <w:spacing w:line="360" w:lineRule="exact"/>
        <w:ind w:firstLine="482"/>
        <w:textAlignment w:val="baseline"/>
        <w:rPr>
          <w:rFonts w:hint="eastAsia" w:ascii="仿宋_GB2312" w:hAnsi="仿宋_GB2312" w:eastAsia="仿宋_GB2312" w:cs="仿宋_GB2312"/>
          <w:sz w:val="24"/>
        </w:rPr>
      </w:pPr>
      <w:r>
        <w:rPr>
          <w:rFonts w:hint="eastAsia" w:ascii="仿宋_GB2312" w:hAnsi="仿宋_GB2312" w:eastAsia="仿宋_GB2312" w:cs="仿宋_GB2312"/>
          <w:sz w:val="24"/>
        </w:rPr>
        <w:t>（二）不得为甲方及其人员报销应由甲方或个人支付的费用。</w:t>
      </w:r>
    </w:p>
    <w:p w14:paraId="5F89BEDA">
      <w:pPr>
        <w:adjustRightInd w:val="0"/>
        <w:spacing w:line="360" w:lineRule="exact"/>
        <w:ind w:firstLine="482"/>
        <w:textAlignment w:val="baseline"/>
        <w:rPr>
          <w:rFonts w:hint="eastAsia" w:ascii="仿宋_GB2312" w:hAnsi="仿宋_GB2312" w:eastAsia="仿宋_GB2312" w:cs="仿宋_GB2312"/>
          <w:sz w:val="24"/>
        </w:rPr>
      </w:pPr>
      <w:r>
        <w:rPr>
          <w:rFonts w:hint="eastAsia" w:ascii="仿宋_GB2312" w:hAnsi="仿宋_GB2312" w:eastAsia="仿宋_GB2312" w:cs="仿宋_GB2312"/>
          <w:sz w:val="24"/>
        </w:rPr>
        <w:t>（三）不得为甲方人员投资入股、个人借款或买卖股票、债券等提供方便。</w:t>
      </w:r>
    </w:p>
    <w:p w14:paraId="7718E266">
      <w:pPr>
        <w:adjustRightInd w:val="0"/>
        <w:spacing w:line="360" w:lineRule="exact"/>
        <w:ind w:firstLine="482"/>
        <w:textAlignment w:val="baseline"/>
        <w:rPr>
          <w:rFonts w:hint="eastAsia" w:ascii="仿宋_GB2312" w:hAnsi="仿宋_GB2312" w:eastAsia="仿宋_GB2312" w:cs="仿宋_GB2312"/>
          <w:sz w:val="24"/>
        </w:rPr>
      </w:pPr>
      <w:r>
        <w:rPr>
          <w:rFonts w:hint="eastAsia" w:ascii="仿宋_GB2312" w:hAnsi="仿宋_GB2312" w:eastAsia="仿宋_GB2312" w:cs="仿宋_GB2312"/>
          <w:sz w:val="24"/>
        </w:rPr>
        <w:t>（四）不得为甲方人员购买或装修住房、婚丧嫁娶、配偶子女上学或工作安排以及出国（境）、旅游等提供方便。</w:t>
      </w:r>
    </w:p>
    <w:p w14:paraId="178BA633">
      <w:pPr>
        <w:adjustRightInd w:val="0"/>
        <w:spacing w:line="360" w:lineRule="exact"/>
        <w:ind w:firstLine="482"/>
        <w:textAlignment w:val="baseline"/>
        <w:rPr>
          <w:rFonts w:hint="eastAsia" w:ascii="仿宋_GB2312" w:hAnsi="仿宋_GB2312" w:eastAsia="仿宋_GB2312" w:cs="仿宋_GB2312"/>
          <w:sz w:val="24"/>
        </w:rPr>
      </w:pPr>
      <w:r>
        <w:rPr>
          <w:rFonts w:hint="eastAsia" w:ascii="仿宋_GB2312" w:hAnsi="仿宋_GB2312" w:eastAsia="仿宋_GB2312" w:cs="仿宋_GB2312"/>
          <w:sz w:val="24"/>
        </w:rPr>
        <w:t>（五）不得为甲方人员安排有可能影响公正执行公务的宴请、健身、娱乐等活动。</w:t>
      </w:r>
    </w:p>
    <w:p w14:paraId="3A999CDB">
      <w:pPr>
        <w:adjustRightInd w:val="0"/>
        <w:spacing w:line="360" w:lineRule="exact"/>
        <w:ind w:firstLine="482"/>
        <w:textAlignment w:val="baseline"/>
        <w:rPr>
          <w:rFonts w:hint="eastAsia" w:ascii="仿宋_GB2312" w:hAnsi="仿宋_GB2312" w:eastAsia="仿宋_GB2312" w:cs="仿宋_GB2312"/>
          <w:sz w:val="24"/>
        </w:rPr>
      </w:pPr>
      <w:r>
        <w:rPr>
          <w:rFonts w:hint="eastAsia" w:ascii="仿宋_GB2312" w:hAnsi="仿宋_GB2312" w:eastAsia="仿宋_GB2312" w:cs="仿宋_GB2312"/>
          <w:sz w:val="24"/>
        </w:rPr>
        <w:t>（六）不得为甲方及其人员购置或提供通讯工具、交通工具和高档办公用品。</w:t>
      </w:r>
    </w:p>
    <w:p w14:paraId="7FED3712">
      <w:pPr>
        <w:adjustRightInd w:val="0"/>
        <w:spacing w:line="360" w:lineRule="exact"/>
        <w:ind w:firstLine="482"/>
        <w:textAlignment w:val="baseline"/>
        <w:rPr>
          <w:rFonts w:hint="eastAsia" w:ascii="仿宋_GB2312" w:hAnsi="仿宋_GB2312" w:eastAsia="仿宋_GB2312" w:cs="仿宋_GB2312"/>
          <w:sz w:val="24"/>
        </w:rPr>
      </w:pPr>
      <w:r>
        <w:rPr>
          <w:rFonts w:hint="eastAsia" w:ascii="仿宋_GB2312" w:hAnsi="仿宋_GB2312" w:eastAsia="仿宋_GB2312" w:cs="仿宋_GB2312"/>
          <w:sz w:val="24"/>
        </w:rPr>
        <w:t>（七）不得为甲方人员的配偶、子女及其他亲属谋取不正当利益提供方便。</w:t>
      </w:r>
    </w:p>
    <w:p w14:paraId="798E1C43">
      <w:pPr>
        <w:adjustRightInd w:val="0"/>
        <w:spacing w:line="360" w:lineRule="exact"/>
        <w:ind w:firstLine="482"/>
        <w:textAlignment w:val="baseline"/>
        <w:rPr>
          <w:rFonts w:hint="eastAsia" w:ascii="仿宋_GB2312" w:hAnsi="仿宋_GB2312" w:eastAsia="仿宋_GB2312" w:cs="仿宋_GB2312"/>
          <w:sz w:val="24"/>
        </w:rPr>
      </w:pPr>
      <w:r>
        <w:rPr>
          <w:rFonts w:hint="eastAsia" w:ascii="仿宋_GB2312" w:hAnsi="仿宋_GB2312" w:eastAsia="仿宋_GB2312" w:cs="仿宋_GB2312"/>
          <w:sz w:val="24"/>
        </w:rPr>
        <w:t>（八）不得违反规定安排甲方人员在乙方或乙方相关企业兼职和领取兼职工资及报酬；不得利用非法手段向甲方人员打探有关涉及甲方的商业秘密、业务渠道等。</w:t>
      </w:r>
    </w:p>
    <w:p w14:paraId="4ACE7A6A">
      <w:pPr>
        <w:adjustRightInd w:val="0"/>
        <w:spacing w:line="360" w:lineRule="exact"/>
        <w:ind w:firstLine="482"/>
        <w:textAlignment w:val="baseline"/>
        <w:rPr>
          <w:rFonts w:hint="eastAsia" w:ascii="仿宋_GB2312" w:hAnsi="仿宋_GB2312" w:eastAsia="仿宋_GB2312" w:cs="仿宋_GB2312"/>
          <w:sz w:val="24"/>
        </w:rPr>
      </w:pPr>
      <w:r>
        <w:rPr>
          <w:rFonts w:hint="eastAsia" w:ascii="仿宋_GB2312" w:hAnsi="仿宋_GB2312" w:eastAsia="仿宋_GB2312" w:cs="仿宋_GB2312"/>
          <w:sz w:val="24"/>
        </w:rPr>
        <w:t>（九）甲方对涉嫌不廉洁的商业行为进行调查时，乙方有配合甲方提供证据、作证的义务。</w:t>
      </w:r>
    </w:p>
    <w:p w14:paraId="6C3FC1D8">
      <w:pPr>
        <w:adjustRightInd w:val="0"/>
        <w:spacing w:line="360" w:lineRule="exact"/>
        <w:ind w:firstLine="482"/>
        <w:textAlignment w:val="baseline"/>
        <w:rPr>
          <w:rFonts w:hint="eastAsia" w:ascii="仿宋_GB2312" w:hAnsi="仿宋_GB2312" w:eastAsia="仿宋_GB2312" w:cs="仿宋_GB2312"/>
          <w:sz w:val="24"/>
        </w:rPr>
      </w:pPr>
      <w:r>
        <w:rPr>
          <w:rFonts w:hint="eastAsia" w:ascii="仿宋_GB2312" w:hAnsi="仿宋_GB2312" w:eastAsia="仿宋_GB2312" w:cs="仿宋_GB2312"/>
          <w:sz w:val="24"/>
        </w:rPr>
        <w:t>（十）未经甲方书面同意，乙方不得向任何新闻媒体、第三人述及有关甲方人员廉洁从业方面的评价、信息。</w:t>
      </w:r>
    </w:p>
    <w:p w14:paraId="32E77E98">
      <w:pPr>
        <w:adjustRightInd w:val="0"/>
        <w:spacing w:line="360" w:lineRule="exact"/>
        <w:ind w:firstLine="482"/>
        <w:textAlignment w:val="baseline"/>
        <w:rPr>
          <w:rFonts w:hint="eastAsia" w:ascii="黑体" w:hAnsi="黑体" w:eastAsia="黑体" w:cs="黑体"/>
          <w:sz w:val="24"/>
        </w:rPr>
      </w:pPr>
      <w:r>
        <w:rPr>
          <w:rFonts w:hint="eastAsia" w:ascii="黑体" w:hAnsi="黑体" w:eastAsia="黑体" w:cs="黑体"/>
          <w:sz w:val="24"/>
        </w:rPr>
        <w:t>第四条</w:t>
      </w:r>
      <w:r>
        <w:rPr>
          <w:rFonts w:hint="eastAsia" w:ascii="黑体" w:hAnsi="黑体" w:eastAsia="黑体" w:cs="黑体"/>
          <w:sz w:val="24"/>
        </w:rPr>
        <w:tab/>
      </w:r>
      <w:r>
        <w:rPr>
          <w:rFonts w:hint="eastAsia" w:ascii="黑体" w:hAnsi="黑体" w:eastAsia="黑体" w:cs="黑体"/>
          <w:sz w:val="24"/>
        </w:rPr>
        <w:t>违约责任</w:t>
      </w:r>
    </w:p>
    <w:p w14:paraId="1120E23C">
      <w:pPr>
        <w:adjustRightInd w:val="0"/>
        <w:spacing w:line="360" w:lineRule="exact"/>
        <w:ind w:firstLine="482"/>
        <w:textAlignment w:val="baseline"/>
        <w:rPr>
          <w:rFonts w:hint="eastAsia" w:ascii="仿宋_GB2312" w:hAnsi="仿宋_GB2312" w:eastAsia="仿宋_GB2312" w:cs="仿宋_GB2312"/>
          <w:sz w:val="24"/>
        </w:rPr>
      </w:pPr>
      <w:r>
        <w:rPr>
          <w:rFonts w:hint="eastAsia" w:ascii="仿宋_GB2312" w:hAnsi="仿宋_GB2312" w:eastAsia="仿宋_GB2312" w:cs="仿宋_GB2312"/>
          <w:sz w:val="24"/>
        </w:rPr>
        <w:t>（一）甲方及其人员有违反合同第一条、第二条规定的，按照管理权限，依据有关法律法规和规定给予有关人员纪律处分或组织处理；涉嫌犯罪的，移交司法机关追究刑事责任。</w:t>
      </w:r>
    </w:p>
    <w:p w14:paraId="43F1EEB5">
      <w:pPr>
        <w:adjustRightInd w:val="0"/>
        <w:spacing w:line="360" w:lineRule="exact"/>
        <w:ind w:firstLine="482"/>
        <w:textAlignment w:val="baseline"/>
        <w:rPr>
          <w:rFonts w:hint="eastAsia" w:ascii="仿宋_GB2312" w:hAnsi="仿宋_GB2312" w:eastAsia="仿宋_GB2312" w:cs="仿宋_GB2312"/>
          <w:sz w:val="24"/>
        </w:rPr>
      </w:pPr>
      <w:r>
        <w:rPr>
          <w:rFonts w:hint="eastAsia" w:ascii="仿宋_GB2312" w:hAnsi="仿宋_GB2312" w:eastAsia="仿宋_GB2312" w:cs="仿宋_GB2312"/>
          <w:sz w:val="24"/>
        </w:rPr>
        <w:t>（二）乙方及其人员有违反本合同第一条、第三条规定的，根据具体情节和造成的后果，甲方除有权要求乙方赔偿由此造成的甲方损失外，还将给予通报、限制或禁止与其交易的处理；涉嫌犯罪的，移交司法机关追究刑事责任。</w:t>
      </w:r>
    </w:p>
    <w:p w14:paraId="2F762084">
      <w:pPr>
        <w:adjustRightInd w:val="0"/>
        <w:spacing w:line="360" w:lineRule="exact"/>
        <w:ind w:firstLine="482"/>
        <w:textAlignment w:val="baseline"/>
        <w:rPr>
          <w:rFonts w:hint="eastAsia" w:ascii="黑体" w:hAnsi="黑体" w:eastAsia="黑体" w:cs="黑体"/>
          <w:sz w:val="24"/>
        </w:rPr>
      </w:pPr>
      <w:r>
        <w:rPr>
          <w:rFonts w:hint="eastAsia" w:ascii="黑体" w:hAnsi="黑体" w:eastAsia="黑体" w:cs="黑体"/>
          <w:sz w:val="24"/>
        </w:rPr>
        <w:t>第五条</w:t>
      </w:r>
      <w:r>
        <w:rPr>
          <w:rFonts w:hint="eastAsia" w:ascii="黑体" w:hAnsi="黑体" w:eastAsia="黑体" w:cs="黑体"/>
          <w:sz w:val="24"/>
        </w:rPr>
        <w:tab/>
      </w:r>
      <w:r>
        <w:rPr>
          <w:rFonts w:hint="eastAsia" w:ascii="黑体" w:hAnsi="黑体" w:eastAsia="黑体" w:cs="黑体"/>
          <w:sz w:val="24"/>
        </w:rPr>
        <w:t>本合同经双方签署后生效</w:t>
      </w:r>
    </w:p>
    <w:p w14:paraId="2B5B244B">
      <w:pPr>
        <w:adjustRightInd w:val="0"/>
        <w:spacing w:line="360" w:lineRule="exact"/>
        <w:ind w:firstLine="482"/>
        <w:textAlignment w:val="baseline"/>
        <w:rPr>
          <w:rFonts w:hint="eastAsia" w:ascii="仿宋_GB2312" w:hAnsi="仿宋_GB2312" w:eastAsia="仿宋_GB2312" w:cs="仿宋_GB2312"/>
          <w:sz w:val="24"/>
        </w:rPr>
      </w:pPr>
      <w:r>
        <w:rPr>
          <w:rFonts w:hint="eastAsia" w:ascii="仿宋_GB2312" w:hAnsi="仿宋_GB2312" w:eastAsia="仿宋_GB2312" w:cs="仿宋_GB2312"/>
          <w:sz w:val="24"/>
        </w:rPr>
        <w:t>甲乙双方通过招标、比选、询比价或其他方式签订交易合同的，本合同作为交易合同的附件，与合同具有同等法律效力；如双方未签订交易合同，本合同独立有效。</w:t>
      </w:r>
    </w:p>
    <w:p w14:paraId="2C9124E6">
      <w:pPr>
        <w:adjustRightInd w:val="0"/>
        <w:spacing w:line="360" w:lineRule="exact"/>
        <w:ind w:firstLine="482"/>
        <w:textAlignment w:val="baseline"/>
        <w:rPr>
          <w:rFonts w:hint="eastAsia" w:ascii="黑体" w:hAnsi="黑体" w:eastAsia="黑体" w:cs="黑体"/>
          <w:sz w:val="24"/>
        </w:rPr>
      </w:pPr>
      <w:r>
        <w:rPr>
          <w:rFonts w:hint="eastAsia" w:ascii="黑体" w:hAnsi="黑体" w:eastAsia="黑体" w:cs="黑体"/>
          <w:sz w:val="24"/>
        </w:rPr>
        <w:t>第六条</w:t>
      </w:r>
      <w:r>
        <w:rPr>
          <w:rFonts w:hint="eastAsia" w:ascii="黑体" w:hAnsi="黑体" w:eastAsia="黑体" w:cs="黑体"/>
          <w:sz w:val="24"/>
        </w:rPr>
        <w:tab/>
      </w:r>
      <w:r>
        <w:rPr>
          <w:rFonts w:hint="eastAsia" w:ascii="黑体" w:hAnsi="黑体" w:eastAsia="黑体" w:cs="黑体"/>
          <w:sz w:val="24"/>
        </w:rPr>
        <w:t>其他</w:t>
      </w:r>
    </w:p>
    <w:p w14:paraId="585E72FE">
      <w:pPr>
        <w:adjustRightInd w:val="0"/>
        <w:spacing w:line="360" w:lineRule="exact"/>
        <w:ind w:firstLine="482"/>
        <w:textAlignment w:val="baseline"/>
        <w:rPr>
          <w:rFonts w:hint="eastAsia" w:ascii="仿宋_GB2312" w:hAnsi="仿宋_GB2312" w:eastAsia="仿宋_GB2312" w:cs="仿宋_GB2312"/>
          <w:sz w:val="24"/>
        </w:rPr>
      </w:pPr>
      <w:r>
        <w:rPr>
          <w:rFonts w:hint="eastAsia" w:ascii="仿宋_GB2312" w:hAnsi="仿宋_GB2312" w:eastAsia="仿宋_GB2312" w:cs="仿宋_GB2312"/>
          <w:sz w:val="24"/>
        </w:rPr>
        <w:t>（一）甲乙双方及其人员在合同履行期间发现有违反本合同相关约定的，合同终止，并追究甲乙双方单位和直接责任人的责任；在经济合同履行完毕后，发生或发现违反本合同规定的行为，仍按本合同规定处理。</w:t>
      </w:r>
    </w:p>
    <w:p w14:paraId="3A3CDA95">
      <w:pPr>
        <w:adjustRightInd w:val="0"/>
        <w:spacing w:line="360" w:lineRule="exact"/>
        <w:ind w:firstLine="482"/>
        <w:textAlignment w:val="baseline"/>
        <w:rPr>
          <w:rFonts w:hint="eastAsia" w:ascii="仿宋_GB2312" w:hAnsi="仿宋_GB2312" w:eastAsia="仿宋_GB2312" w:cs="仿宋_GB2312"/>
          <w:sz w:val="24"/>
        </w:rPr>
      </w:pPr>
      <w:r>
        <w:rPr>
          <w:rFonts w:hint="eastAsia" w:ascii="仿宋_GB2312" w:hAnsi="仿宋_GB2312" w:eastAsia="仿宋_GB2312" w:cs="仿宋_GB2312"/>
          <w:sz w:val="24"/>
        </w:rPr>
        <w:t>（二）本合同一式肆份，甲乙双方各执贰份，具有同等法律效力。</w:t>
      </w:r>
    </w:p>
    <w:p w14:paraId="215663D8">
      <w:pPr>
        <w:pStyle w:val="2"/>
      </w:pPr>
    </w:p>
    <w:tbl>
      <w:tblPr>
        <w:tblStyle w:val="31"/>
        <w:tblW w:w="8925"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2805"/>
        <w:gridCol w:w="2017"/>
        <w:gridCol w:w="2408"/>
      </w:tblGrid>
      <w:tr w14:paraId="0CF89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0" w:type="dxa"/>
            <w:gridSpan w:val="2"/>
            <w:tcBorders>
              <w:top w:val="single" w:color="auto" w:sz="4" w:space="0"/>
              <w:left w:val="single" w:color="auto" w:sz="4" w:space="0"/>
              <w:bottom w:val="single" w:color="auto" w:sz="4" w:space="0"/>
              <w:right w:val="single" w:color="auto" w:sz="4" w:space="0"/>
            </w:tcBorders>
          </w:tcPr>
          <w:p w14:paraId="625BE409">
            <w:pPr>
              <w:spacing w:line="400" w:lineRule="atLeast"/>
              <w:rPr>
                <w:rFonts w:hint="eastAsia" w:ascii="仿宋_GB2312" w:hAnsi="仿宋_GB2312" w:eastAsia="仿宋_GB2312" w:cs="仿宋_GB2312"/>
                <w:sz w:val="24"/>
              </w:rPr>
            </w:pPr>
            <w:r>
              <w:rPr>
                <w:rFonts w:hint="eastAsia" w:ascii="仿宋_GB2312" w:hAnsi="仿宋_GB2312" w:eastAsia="仿宋_GB2312" w:cs="仿宋_GB2312"/>
                <w:sz w:val="24"/>
              </w:rPr>
              <w:t>甲方（盖章）：宁德市福化环保科技有限公司</w:t>
            </w:r>
          </w:p>
        </w:tc>
        <w:tc>
          <w:tcPr>
            <w:tcW w:w="4425" w:type="dxa"/>
            <w:gridSpan w:val="2"/>
            <w:tcBorders>
              <w:top w:val="single" w:color="auto" w:sz="4" w:space="0"/>
              <w:left w:val="single" w:color="auto" w:sz="4" w:space="0"/>
              <w:bottom w:val="single" w:color="auto" w:sz="4" w:space="0"/>
              <w:right w:val="single" w:color="auto" w:sz="4" w:space="0"/>
            </w:tcBorders>
          </w:tcPr>
          <w:p w14:paraId="6BC2A255">
            <w:pPr>
              <w:spacing w:line="400" w:lineRule="atLeast"/>
              <w:rPr>
                <w:rFonts w:hint="eastAsia" w:ascii="仿宋_GB2312" w:hAnsi="仿宋_GB2312" w:eastAsia="仿宋_GB2312" w:cs="仿宋_GB2312"/>
                <w:sz w:val="24"/>
              </w:rPr>
            </w:pPr>
            <w:r>
              <w:rPr>
                <w:rFonts w:hint="eastAsia" w:ascii="仿宋_GB2312" w:hAnsi="仿宋_GB2312" w:eastAsia="仿宋_GB2312" w:cs="仿宋_GB2312"/>
                <w:sz w:val="24"/>
              </w:rPr>
              <w:t>乙方（盖章）：</w:t>
            </w:r>
          </w:p>
          <w:p w14:paraId="0D5C7CEA">
            <w:pPr>
              <w:spacing w:line="400" w:lineRule="atLeast"/>
              <w:rPr>
                <w:sz w:val="20"/>
                <w:szCs w:val="22"/>
              </w:rPr>
            </w:pPr>
            <w:r>
              <w:rPr>
                <w:rFonts w:hint="eastAsia" w:ascii="仿宋_GB2312" w:hAnsi="仿宋_GB2312" w:eastAsia="仿宋_GB2312" w:cs="仿宋_GB2312"/>
                <w:b/>
                <w:bCs/>
                <w:sz w:val="24"/>
              </w:rPr>
              <w:t>[ ]</w:t>
            </w:r>
          </w:p>
        </w:tc>
      </w:tr>
      <w:tr w14:paraId="14434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tcBorders>
              <w:top w:val="single" w:color="auto" w:sz="4" w:space="0"/>
              <w:left w:val="single" w:color="auto" w:sz="4" w:space="0"/>
              <w:bottom w:val="single" w:color="auto" w:sz="4" w:space="0"/>
              <w:right w:val="single" w:color="auto" w:sz="4" w:space="0"/>
            </w:tcBorders>
            <w:vAlign w:val="center"/>
          </w:tcPr>
          <w:p w14:paraId="46614A7E">
            <w:pPr>
              <w:spacing w:line="400" w:lineRule="atLeast"/>
              <w:rPr>
                <w:rFonts w:hint="eastAsia" w:ascii="仿宋_GB2312" w:hAnsi="仿宋_GB2312" w:eastAsia="仿宋_GB2312" w:cs="仿宋_GB2312"/>
                <w:sz w:val="24"/>
              </w:rPr>
            </w:pPr>
            <w:r>
              <w:rPr>
                <w:rFonts w:hint="eastAsia" w:ascii="仿宋_GB2312" w:hAnsi="仿宋_GB2312" w:eastAsia="仿宋_GB2312" w:cs="仿宋_GB2312"/>
                <w:sz w:val="24"/>
              </w:rPr>
              <w:t>法定代表人</w:t>
            </w:r>
          </w:p>
          <w:p w14:paraId="4B727E86">
            <w:pPr>
              <w:spacing w:line="400" w:lineRule="atLeast"/>
              <w:rPr>
                <w:rFonts w:hint="eastAsia" w:ascii="仿宋_GB2312" w:hAnsi="仿宋_GB2312" w:eastAsia="仿宋_GB2312" w:cs="仿宋_GB2312"/>
                <w:sz w:val="24"/>
              </w:rPr>
            </w:pPr>
            <w:r>
              <w:rPr>
                <w:rFonts w:hint="eastAsia" w:ascii="仿宋_GB2312" w:hAnsi="仿宋_GB2312" w:eastAsia="仿宋_GB2312" w:cs="仿宋_GB2312"/>
                <w:sz w:val="24"/>
              </w:rPr>
              <w:t>（签字）：</w:t>
            </w:r>
          </w:p>
        </w:tc>
        <w:tc>
          <w:tcPr>
            <w:tcW w:w="2805" w:type="dxa"/>
            <w:tcBorders>
              <w:top w:val="single" w:color="auto" w:sz="4" w:space="0"/>
              <w:left w:val="single" w:color="auto" w:sz="4" w:space="0"/>
              <w:bottom w:val="single" w:color="auto" w:sz="4" w:space="0"/>
              <w:right w:val="single" w:color="auto" w:sz="4" w:space="0"/>
            </w:tcBorders>
          </w:tcPr>
          <w:p w14:paraId="19351C5F">
            <w:pPr>
              <w:spacing w:line="400" w:lineRule="atLeast"/>
              <w:rPr>
                <w:rFonts w:ascii="仿宋_GB2312" w:hAnsi="仿宋_GB2312" w:eastAsia="仿宋_GB2312" w:cs="仿宋_GB2312"/>
                <w:sz w:val="24"/>
              </w:rPr>
            </w:pPr>
          </w:p>
        </w:tc>
        <w:tc>
          <w:tcPr>
            <w:tcW w:w="2017" w:type="dxa"/>
            <w:tcBorders>
              <w:top w:val="single" w:color="auto" w:sz="4" w:space="0"/>
              <w:left w:val="single" w:color="auto" w:sz="4" w:space="0"/>
              <w:bottom w:val="single" w:color="auto" w:sz="4" w:space="0"/>
              <w:right w:val="single" w:color="auto" w:sz="4" w:space="0"/>
            </w:tcBorders>
            <w:vAlign w:val="center"/>
          </w:tcPr>
          <w:p w14:paraId="2F7FD5AA">
            <w:pPr>
              <w:spacing w:line="400" w:lineRule="atLeast"/>
              <w:rPr>
                <w:rFonts w:hint="eastAsia" w:ascii="仿宋_GB2312" w:hAnsi="仿宋_GB2312" w:eastAsia="仿宋_GB2312" w:cs="仿宋_GB2312"/>
                <w:sz w:val="24"/>
              </w:rPr>
            </w:pPr>
            <w:r>
              <w:rPr>
                <w:rFonts w:hint="eastAsia" w:ascii="仿宋_GB2312" w:hAnsi="仿宋_GB2312" w:eastAsia="仿宋_GB2312" w:cs="仿宋_GB2312"/>
                <w:sz w:val="24"/>
              </w:rPr>
              <w:t>法定代表人</w:t>
            </w:r>
          </w:p>
          <w:p w14:paraId="19B7F8E2">
            <w:pPr>
              <w:spacing w:line="400" w:lineRule="atLeast"/>
              <w:rPr>
                <w:sz w:val="20"/>
                <w:szCs w:val="22"/>
              </w:rPr>
            </w:pPr>
            <w:r>
              <w:rPr>
                <w:rFonts w:hint="eastAsia" w:ascii="仿宋_GB2312" w:hAnsi="仿宋_GB2312" w:eastAsia="仿宋_GB2312" w:cs="仿宋_GB2312"/>
                <w:sz w:val="24"/>
              </w:rPr>
              <w:t>（签字）：</w:t>
            </w:r>
          </w:p>
        </w:tc>
        <w:tc>
          <w:tcPr>
            <w:tcW w:w="2408" w:type="dxa"/>
            <w:tcBorders>
              <w:top w:val="single" w:color="auto" w:sz="4" w:space="0"/>
              <w:left w:val="single" w:color="auto" w:sz="4" w:space="0"/>
              <w:bottom w:val="single" w:color="auto" w:sz="4" w:space="0"/>
              <w:right w:val="single" w:color="auto" w:sz="4" w:space="0"/>
            </w:tcBorders>
          </w:tcPr>
          <w:p w14:paraId="2E67500A">
            <w:pPr>
              <w:spacing w:line="400" w:lineRule="atLeast"/>
              <w:rPr>
                <w:sz w:val="20"/>
                <w:szCs w:val="22"/>
              </w:rPr>
            </w:pPr>
          </w:p>
        </w:tc>
      </w:tr>
    </w:tbl>
    <w:p w14:paraId="3C93141F">
      <w:pPr>
        <w:spacing w:line="500" w:lineRule="exact"/>
        <w:rPr>
          <w:rFonts w:hint="eastAsia" w:ascii="黑体" w:hAnsi="黑体" w:eastAsia="黑体" w:cs="黑体"/>
          <w:bCs/>
          <w:sz w:val="28"/>
          <w:szCs w:val="28"/>
        </w:rPr>
      </w:pPr>
      <w:r>
        <w:rPr>
          <w:rFonts w:hint="eastAsia" w:ascii="仿宋_GB2312" w:hAnsi="仿宋_GB2312" w:eastAsia="仿宋_GB2312" w:cs="仿宋_GB2312"/>
          <w:sz w:val="24"/>
        </w:rPr>
        <w:br w:type="page"/>
      </w:r>
      <w:r>
        <w:rPr>
          <w:rFonts w:hint="eastAsia" w:ascii="黑体" w:hAnsi="黑体" w:eastAsia="黑体" w:cs="黑体"/>
          <w:bCs/>
          <w:sz w:val="28"/>
          <w:szCs w:val="28"/>
        </w:rPr>
        <w:t>附件：</w:t>
      </w:r>
    </w:p>
    <w:p w14:paraId="494A014D">
      <w:pPr>
        <w:pStyle w:val="2"/>
        <w:rPr>
          <w:rFonts w:hint="eastAsia"/>
        </w:rPr>
      </w:pPr>
    </w:p>
    <w:tbl>
      <w:tblPr>
        <w:tblStyle w:val="31"/>
        <w:tblW w:w="10122" w:type="dxa"/>
        <w:tblInd w:w="93" w:type="dxa"/>
        <w:tblLayout w:type="fixed"/>
        <w:tblCellMar>
          <w:top w:w="0" w:type="dxa"/>
          <w:left w:w="108" w:type="dxa"/>
          <w:bottom w:w="0" w:type="dxa"/>
          <w:right w:w="108" w:type="dxa"/>
        </w:tblCellMar>
      </w:tblPr>
      <w:tblGrid>
        <w:gridCol w:w="2019"/>
        <w:gridCol w:w="833"/>
        <w:gridCol w:w="236"/>
        <w:gridCol w:w="236"/>
        <w:gridCol w:w="236"/>
        <w:gridCol w:w="1114"/>
        <w:gridCol w:w="219"/>
        <w:gridCol w:w="1056"/>
        <w:gridCol w:w="2204"/>
        <w:gridCol w:w="656"/>
        <w:gridCol w:w="1313"/>
      </w:tblGrid>
      <w:tr w14:paraId="6ACBE9FF">
        <w:tblPrEx>
          <w:tblCellMar>
            <w:top w:w="0" w:type="dxa"/>
            <w:left w:w="108" w:type="dxa"/>
            <w:bottom w:w="0" w:type="dxa"/>
            <w:right w:w="108" w:type="dxa"/>
          </w:tblCellMar>
        </w:tblPrEx>
        <w:trPr>
          <w:gridAfter w:val="1"/>
          <w:wAfter w:w="1313" w:type="dxa"/>
          <w:trHeight w:val="720" w:hRule="atLeast"/>
        </w:trPr>
        <w:tc>
          <w:tcPr>
            <w:tcW w:w="8809" w:type="dxa"/>
            <w:gridSpan w:val="10"/>
            <w:tcBorders>
              <w:top w:val="nil"/>
              <w:left w:val="nil"/>
              <w:bottom w:val="nil"/>
              <w:right w:val="nil"/>
            </w:tcBorders>
            <w:vAlign w:val="center"/>
          </w:tcPr>
          <w:p w14:paraId="21CC9F35">
            <w:pPr>
              <w:widowControl/>
              <w:jc w:val="center"/>
              <w:rPr>
                <w:rFonts w:ascii="仿宋_GB2312" w:hAnsi="宋体" w:eastAsia="仿宋_GB2312" w:cs="宋体"/>
                <w:b/>
                <w:bCs/>
                <w:kern w:val="0"/>
                <w:sz w:val="40"/>
                <w:szCs w:val="40"/>
              </w:rPr>
            </w:pPr>
            <w:r>
              <w:rPr>
                <w:rFonts w:hint="eastAsia" w:ascii="仿宋_GB2312" w:hAnsi="宋体" w:eastAsia="仿宋_GB2312" w:cs="宋体"/>
                <w:b/>
                <w:bCs/>
                <w:kern w:val="0"/>
                <w:sz w:val="40"/>
                <w:szCs w:val="40"/>
              </w:rPr>
              <w:t>宁德 福 化 环 保 派 工 单</w:t>
            </w:r>
          </w:p>
        </w:tc>
      </w:tr>
      <w:tr w14:paraId="1AB68953">
        <w:tblPrEx>
          <w:tblCellMar>
            <w:top w:w="0" w:type="dxa"/>
            <w:left w:w="108" w:type="dxa"/>
            <w:bottom w:w="0" w:type="dxa"/>
            <w:right w:w="108" w:type="dxa"/>
          </w:tblCellMar>
        </w:tblPrEx>
        <w:trPr>
          <w:trHeight w:val="420" w:hRule="atLeast"/>
        </w:trPr>
        <w:tc>
          <w:tcPr>
            <w:tcW w:w="2852" w:type="dxa"/>
            <w:gridSpan w:val="2"/>
            <w:tcBorders>
              <w:top w:val="nil"/>
              <w:left w:val="nil"/>
              <w:bottom w:val="nil"/>
              <w:right w:val="nil"/>
            </w:tcBorders>
            <w:vAlign w:val="center"/>
          </w:tcPr>
          <w:p w14:paraId="0AFCB5D7">
            <w:pPr>
              <w:widowControl/>
              <w:jc w:val="center"/>
              <w:rPr>
                <w:rFonts w:ascii="仿宋_GB2312" w:hAnsi="宋体" w:eastAsia="仿宋_GB2312" w:cs="宋体"/>
                <w:b/>
                <w:bCs/>
                <w:kern w:val="0"/>
                <w:sz w:val="24"/>
              </w:rPr>
            </w:pPr>
          </w:p>
        </w:tc>
        <w:tc>
          <w:tcPr>
            <w:tcW w:w="236" w:type="dxa"/>
            <w:tcBorders>
              <w:top w:val="nil"/>
              <w:left w:val="nil"/>
              <w:bottom w:val="nil"/>
              <w:right w:val="nil"/>
            </w:tcBorders>
            <w:vAlign w:val="center"/>
          </w:tcPr>
          <w:p w14:paraId="1E5A7E3F">
            <w:pPr>
              <w:widowControl/>
              <w:jc w:val="center"/>
              <w:rPr>
                <w:rFonts w:ascii="仿宋_GB2312" w:hAnsi="宋体" w:eastAsia="仿宋_GB2312" w:cs="宋体"/>
                <w:kern w:val="0"/>
                <w:sz w:val="24"/>
              </w:rPr>
            </w:pPr>
          </w:p>
        </w:tc>
        <w:tc>
          <w:tcPr>
            <w:tcW w:w="236" w:type="dxa"/>
            <w:tcBorders>
              <w:top w:val="nil"/>
              <w:left w:val="nil"/>
              <w:bottom w:val="nil"/>
              <w:right w:val="nil"/>
            </w:tcBorders>
            <w:vAlign w:val="center"/>
          </w:tcPr>
          <w:p w14:paraId="4CA89B58">
            <w:pPr>
              <w:widowControl/>
              <w:jc w:val="center"/>
              <w:rPr>
                <w:rFonts w:ascii="仿宋_GB2312" w:hAnsi="宋体" w:eastAsia="仿宋_GB2312" w:cs="宋体"/>
                <w:kern w:val="0"/>
                <w:sz w:val="24"/>
              </w:rPr>
            </w:pPr>
          </w:p>
        </w:tc>
        <w:tc>
          <w:tcPr>
            <w:tcW w:w="236" w:type="dxa"/>
            <w:tcBorders>
              <w:top w:val="nil"/>
              <w:left w:val="nil"/>
              <w:bottom w:val="nil"/>
              <w:right w:val="nil"/>
            </w:tcBorders>
            <w:vAlign w:val="center"/>
          </w:tcPr>
          <w:p w14:paraId="17B189A5">
            <w:pPr>
              <w:widowControl/>
              <w:jc w:val="center"/>
              <w:rPr>
                <w:rFonts w:ascii="仿宋_GB2312" w:hAnsi="宋体" w:eastAsia="仿宋_GB2312" w:cs="宋体"/>
                <w:kern w:val="0"/>
                <w:sz w:val="24"/>
              </w:rPr>
            </w:pPr>
          </w:p>
        </w:tc>
        <w:tc>
          <w:tcPr>
            <w:tcW w:w="1333" w:type="dxa"/>
            <w:gridSpan w:val="2"/>
            <w:tcBorders>
              <w:top w:val="nil"/>
              <w:left w:val="nil"/>
              <w:bottom w:val="nil"/>
              <w:right w:val="nil"/>
            </w:tcBorders>
            <w:vAlign w:val="center"/>
          </w:tcPr>
          <w:p w14:paraId="7F4CC899">
            <w:pPr>
              <w:widowControl/>
              <w:jc w:val="right"/>
              <w:rPr>
                <w:rFonts w:ascii="仿宋_GB2312" w:hAnsi="宋体" w:eastAsia="仿宋_GB2312" w:cs="宋体"/>
                <w:kern w:val="0"/>
                <w:sz w:val="24"/>
              </w:rPr>
            </w:pPr>
            <w:r>
              <w:rPr>
                <w:rFonts w:hint="eastAsia" w:ascii="仿宋_GB2312" w:hAnsi="宋体" w:eastAsia="仿宋_GB2312" w:cs="宋体"/>
                <w:kern w:val="0"/>
                <w:sz w:val="24"/>
              </w:rPr>
              <w:t>年</w:t>
            </w:r>
          </w:p>
        </w:tc>
        <w:tc>
          <w:tcPr>
            <w:tcW w:w="3260" w:type="dxa"/>
            <w:gridSpan w:val="2"/>
            <w:tcBorders>
              <w:top w:val="nil"/>
              <w:left w:val="nil"/>
              <w:bottom w:val="nil"/>
              <w:right w:val="nil"/>
            </w:tcBorders>
            <w:vAlign w:val="center"/>
          </w:tcPr>
          <w:p w14:paraId="6ED99A5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月     日</w:t>
            </w:r>
          </w:p>
        </w:tc>
        <w:tc>
          <w:tcPr>
            <w:tcW w:w="1969" w:type="dxa"/>
            <w:gridSpan w:val="2"/>
            <w:tcBorders>
              <w:top w:val="nil"/>
              <w:left w:val="nil"/>
              <w:bottom w:val="nil"/>
              <w:right w:val="nil"/>
            </w:tcBorders>
            <w:vAlign w:val="center"/>
          </w:tcPr>
          <w:p w14:paraId="698BAAB9">
            <w:pPr>
              <w:widowControl/>
              <w:jc w:val="left"/>
              <w:rPr>
                <w:rFonts w:ascii="仿宋_GB2312" w:hAnsi="宋体" w:eastAsia="仿宋_GB2312" w:cs="宋体"/>
                <w:kern w:val="0"/>
                <w:sz w:val="24"/>
              </w:rPr>
            </w:pPr>
            <w:r>
              <w:rPr>
                <w:rFonts w:hint="eastAsia" w:ascii="仿宋_GB2312" w:hAnsi="宋体" w:eastAsia="仿宋_GB2312" w:cs="宋体"/>
                <w:kern w:val="0"/>
                <w:sz w:val="24"/>
              </w:rPr>
              <w:t>NO:</w:t>
            </w:r>
          </w:p>
        </w:tc>
      </w:tr>
      <w:tr w14:paraId="40E5A7DC">
        <w:tblPrEx>
          <w:tblCellMar>
            <w:top w:w="0" w:type="dxa"/>
            <w:left w:w="108" w:type="dxa"/>
            <w:bottom w:w="0" w:type="dxa"/>
            <w:right w:w="108" w:type="dxa"/>
          </w:tblCellMar>
        </w:tblPrEx>
        <w:trPr>
          <w:gridAfter w:val="1"/>
          <w:wAfter w:w="1313" w:type="dxa"/>
          <w:trHeight w:val="480" w:hRule="atLeast"/>
        </w:trPr>
        <w:tc>
          <w:tcPr>
            <w:tcW w:w="2019" w:type="dxa"/>
            <w:tcBorders>
              <w:top w:val="single" w:color="auto" w:sz="4" w:space="0"/>
              <w:left w:val="single" w:color="auto" w:sz="4" w:space="0"/>
              <w:bottom w:val="single" w:color="auto" w:sz="4" w:space="0"/>
              <w:right w:val="single" w:color="auto" w:sz="4" w:space="0"/>
            </w:tcBorders>
            <w:vAlign w:val="center"/>
          </w:tcPr>
          <w:p w14:paraId="27928CA7">
            <w:pPr>
              <w:widowControl/>
              <w:jc w:val="center"/>
              <w:rPr>
                <w:rFonts w:ascii="仿宋_GB2312" w:hAnsi="宋体" w:eastAsia="仿宋_GB2312" w:cs="宋体"/>
                <w:kern w:val="0"/>
                <w:sz w:val="24"/>
              </w:rPr>
            </w:pPr>
            <w:r>
              <w:rPr>
                <w:rFonts w:hint="eastAsia" w:ascii="仿宋_GB2312" w:hAnsi="宋体" w:eastAsia="仿宋_GB2312" w:cs="宋体"/>
                <w:kern w:val="0"/>
                <w:sz w:val="24"/>
              </w:rPr>
              <w:t>派工单位</w:t>
            </w:r>
          </w:p>
        </w:tc>
        <w:tc>
          <w:tcPr>
            <w:tcW w:w="2655" w:type="dxa"/>
            <w:gridSpan w:val="5"/>
            <w:tcBorders>
              <w:top w:val="single" w:color="auto" w:sz="4" w:space="0"/>
              <w:left w:val="nil"/>
              <w:bottom w:val="single" w:color="auto" w:sz="4" w:space="0"/>
              <w:right w:val="single" w:color="auto" w:sz="4" w:space="0"/>
            </w:tcBorders>
            <w:vAlign w:val="center"/>
          </w:tcPr>
          <w:p w14:paraId="4B96D3C8">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4135" w:type="dxa"/>
            <w:gridSpan w:val="4"/>
            <w:tcBorders>
              <w:top w:val="single" w:color="auto" w:sz="4" w:space="0"/>
              <w:left w:val="single" w:color="auto" w:sz="4" w:space="0"/>
              <w:bottom w:val="single" w:color="auto" w:sz="4" w:space="0"/>
              <w:right w:val="single" w:color="auto" w:sz="4" w:space="0"/>
            </w:tcBorders>
            <w:vAlign w:val="center"/>
          </w:tcPr>
          <w:p w14:paraId="02DCA0DE">
            <w:pPr>
              <w:widowControl/>
              <w:jc w:val="center"/>
              <w:rPr>
                <w:rFonts w:ascii="仿宋_GB2312" w:hAnsi="宋体" w:eastAsia="仿宋_GB2312" w:cs="宋体"/>
                <w:kern w:val="0"/>
                <w:sz w:val="24"/>
              </w:rPr>
            </w:pPr>
            <w:r>
              <w:rPr>
                <w:rFonts w:hint="eastAsia" w:ascii="仿宋_GB2312" w:hAnsi="宋体" w:eastAsia="仿宋_GB2312" w:cs="宋体"/>
                <w:kern w:val="0"/>
                <w:sz w:val="24"/>
              </w:rPr>
              <w:t>备     注</w:t>
            </w:r>
          </w:p>
        </w:tc>
      </w:tr>
      <w:tr w14:paraId="5B91D209">
        <w:tblPrEx>
          <w:tblCellMar>
            <w:top w:w="0" w:type="dxa"/>
            <w:left w:w="108" w:type="dxa"/>
            <w:bottom w:w="0" w:type="dxa"/>
            <w:right w:w="108" w:type="dxa"/>
          </w:tblCellMar>
        </w:tblPrEx>
        <w:trPr>
          <w:gridAfter w:val="1"/>
          <w:wAfter w:w="1313" w:type="dxa"/>
          <w:trHeight w:val="480" w:hRule="atLeast"/>
        </w:trPr>
        <w:tc>
          <w:tcPr>
            <w:tcW w:w="2019" w:type="dxa"/>
            <w:tcBorders>
              <w:top w:val="single" w:color="auto" w:sz="4" w:space="0"/>
              <w:left w:val="single" w:color="auto" w:sz="4" w:space="0"/>
              <w:bottom w:val="single" w:color="auto" w:sz="4" w:space="0"/>
              <w:right w:val="single" w:color="auto" w:sz="4" w:space="0"/>
            </w:tcBorders>
            <w:vAlign w:val="center"/>
          </w:tcPr>
          <w:p w14:paraId="0E8C55E9">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用工部门（甲方）</w:t>
            </w:r>
          </w:p>
        </w:tc>
        <w:tc>
          <w:tcPr>
            <w:tcW w:w="2655" w:type="dxa"/>
            <w:gridSpan w:val="5"/>
            <w:tcBorders>
              <w:top w:val="single" w:color="auto" w:sz="4" w:space="0"/>
              <w:left w:val="nil"/>
              <w:bottom w:val="single" w:color="auto" w:sz="4" w:space="0"/>
              <w:right w:val="single" w:color="auto" w:sz="4" w:space="0"/>
            </w:tcBorders>
            <w:vAlign w:val="center"/>
          </w:tcPr>
          <w:p w14:paraId="465FAFC2">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275" w:type="dxa"/>
            <w:gridSpan w:val="2"/>
            <w:tcBorders>
              <w:top w:val="nil"/>
              <w:left w:val="single" w:color="auto" w:sz="4" w:space="0"/>
              <w:bottom w:val="single" w:color="auto" w:sz="4" w:space="0"/>
              <w:right w:val="single" w:color="auto" w:sz="4" w:space="0"/>
            </w:tcBorders>
            <w:vAlign w:val="center"/>
          </w:tcPr>
          <w:p w14:paraId="635E8C94">
            <w:pPr>
              <w:widowControl/>
              <w:rPr>
                <w:rFonts w:hint="eastAsia" w:ascii="仿宋_GB2312" w:hAnsi="宋体" w:eastAsia="仿宋_GB2312" w:cs="宋体"/>
                <w:kern w:val="0"/>
                <w:sz w:val="24"/>
              </w:rPr>
            </w:pPr>
            <w:r>
              <w:rPr>
                <w:rFonts w:hint="eastAsia" w:ascii="仿宋_GB2312" w:hAnsi="宋体" w:eastAsia="仿宋_GB2312" w:cs="宋体"/>
                <w:kern w:val="0"/>
                <w:sz w:val="24"/>
              </w:rPr>
              <w:t>作业人员</w:t>
            </w:r>
          </w:p>
        </w:tc>
        <w:tc>
          <w:tcPr>
            <w:tcW w:w="2860" w:type="dxa"/>
            <w:gridSpan w:val="2"/>
            <w:tcBorders>
              <w:top w:val="nil"/>
              <w:left w:val="nil"/>
              <w:bottom w:val="single" w:color="auto" w:sz="4" w:space="0"/>
              <w:right w:val="single" w:color="auto" w:sz="4" w:space="0"/>
            </w:tcBorders>
            <w:vAlign w:val="center"/>
          </w:tcPr>
          <w:p w14:paraId="7D1168CD">
            <w:pPr>
              <w:widowControl/>
              <w:jc w:val="center"/>
              <w:rPr>
                <w:rFonts w:ascii="仿宋_GB2312" w:hAnsi="宋体" w:eastAsia="仿宋_GB2312" w:cs="宋体"/>
                <w:kern w:val="0"/>
                <w:sz w:val="24"/>
              </w:rPr>
            </w:pPr>
            <w:r>
              <w:rPr>
                <w:rFonts w:hint="eastAsia" w:ascii="仿宋_GB2312" w:hAnsi="宋体" w:eastAsia="仿宋_GB2312" w:cs="宋体"/>
                <w:kern w:val="0"/>
                <w:sz w:val="24"/>
              </w:rPr>
              <w:t>作业量</w:t>
            </w:r>
          </w:p>
        </w:tc>
      </w:tr>
      <w:tr w14:paraId="32D1BE4B">
        <w:tblPrEx>
          <w:tblCellMar>
            <w:top w:w="0" w:type="dxa"/>
            <w:left w:w="108" w:type="dxa"/>
            <w:bottom w:w="0" w:type="dxa"/>
            <w:right w:w="108" w:type="dxa"/>
          </w:tblCellMar>
        </w:tblPrEx>
        <w:trPr>
          <w:gridAfter w:val="1"/>
          <w:wAfter w:w="1313" w:type="dxa"/>
          <w:trHeight w:val="2370" w:hRule="atLeast"/>
        </w:trPr>
        <w:tc>
          <w:tcPr>
            <w:tcW w:w="2019" w:type="dxa"/>
            <w:tcBorders>
              <w:top w:val="single" w:color="auto" w:sz="4" w:space="0"/>
              <w:left w:val="single" w:color="auto" w:sz="4" w:space="0"/>
              <w:bottom w:val="single" w:color="auto" w:sz="4" w:space="0"/>
              <w:right w:val="single" w:color="auto" w:sz="4" w:space="0"/>
            </w:tcBorders>
            <w:vAlign w:val="center"/>
          </w:tcPr>
          <w:p w14:paraId="4880B040">
            <w:pPr>
              <w:widowControl/>
              <w:jc w:val="center"/>
              <w:rPr>
                <w:rFonts w:ascii="仿宋_GB2312" w:hAnsi="宋体" w:eastAsia="仿宋_GB2312" w:cs="宋体"/>
                <w:kern w:val="0"/>
                <w:sz w:val="24"/>
              </w:rPr>
            </w:pPr>
            <w:r>
              <w:rPr>
                <w:rFonts w:hint="eastAsia" w:ascii="仿宋_GB2312" w:hAnsi="宋体" w:eastAsia="仿宋_GB2312" w:cs="宋体"/>
                <w:kern w:val="0"/>
                <w:sz w:val="24"/>
              </w:rPr>
              <w:t>用工事由</w:t>
            </w:r>
          </w:p>
        </w:tc>
        <w:tc>
          <w:tcPr>
            <w:tcW w:w="2655" w:type="dxa"/>
            <w:gridSpan w:val="5"/>
            <w:tcBorders>
              <w:top w:val="single" w:color="auto" w:sz="4" w:space="0"/>
              <w:left w:val="nil"/>
              <w:bottom w:val="single" w:color="auto" w:sz="4" w:space="0"/>
              <w:right w:val="single" w:color="auto" w:sz="4" w:space="0"/>
            </w:tcBorders>
            <w:vAlign w:val="center"/>
          </w:tcPr>
          <w:p w14:paraId="099B9D5D">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275" w:type="dxa"/>
            <w:gridSpan w:val="2"/>
            <w:tcBorders>
              <w:top w:val="nil"/>
              <w:left w:val="single" w:color="auto" w:sz="4" w:space="0"/>
              <w:bottom w:val="single" w:color="auto" w:sz="4" w:space="0"/>
              <w:right w:val="single" w:color="auto" w:sz="4" w:space="0"/>
            </w:tcBorders>
            <w:vAlign w:val="center"/>
          </w:tcPr>
          <w:p w14:paraId="285146C6">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p w14:paraId="0207CA43">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p w14:paraId="7435232A">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p w14:paraId="27D01912">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p w14:paraId="202A0200">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p w14:paraId="08CEB31B">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2860" w:type="dxa"/>
            <w:gridSpan w:val="2"/>
            <w:tcBorders>
              <w:top w:val="nil"/>
              <w:left w:val="nil"/>
              <w:bottom w:val="single" w:color="auto" w:sz="4" w:space="0"/>
              <w:right w:val="single" w:color="auto" w:sz="4" w:space="0"/>
            </w:tcBorders>
            <w:vAlign w:val="center"/>
          </w:tcPr>
          <w:p w14:paraId="272AC814">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p w14:paraId="0CE735CF">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p w14:paraId="5530C4F8">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p w14:paraId="02FE5EBD">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p w14:paraId="14E80F15">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p w14:paraId="5AE4B317">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p w14:paraId="3B783A88">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p w14:paraId="630E344C">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p w14:paraId="6818C2F9">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14:paraId="3FFD6E66">
        <w:tblPrEx>
          <w:tblCellMar>
            <w:top w:w="0" w:type="dxa"/>
            <w:left w:w="108" w:type="dxa"/>
            <w:bottom w:w="0" w:type="dxa"/>
            <w:right w:w="108" w:type="dxa"/>
          </w:tblCellMar>
        </w:tblPrEx>
        <w:trPr>
          <w:gridAfter w:val="1"/>
          <w:wAfter w:w="1313" w:type="dxa"/>
          <w:trHeight w:val="522" w:hRule="atLeast"/>
        </w:trPr>
        <w:tc>
          <w:tcPr>
            <w:tcW w:w="2019" w:type="dxa"/>
            <w:tcBorders>
              <w:top w:val="single" w:color="auto" w:sz="4" w:space="0"/>
              <w:left w:val="single" w:color="auto" w:sz="4" w:space="0"/>
              <w:bottom w:val="single" w:color="auto" w:sz="4" w:space="0"/>
              <w:right w:val="single" w:color="auto" w:sz="4" w:space="0"/>
            </w:tcBorders>
            <w:vAlign w:val="center"/>
          </w:tcPr>
          <w:p w14:paraId="06CF729B">
            <w:pPr>
              <w:widowControl/>
              <w:jc w:val="center"/>
              <w:rPr>
                <w:rFonts w:ascii="仿宋_GB2312" w:hAnsi="宋体" w:eastAsia="仿宋_GB2312" w:cs="宋体"/>
                <w:kern w:val="0"/>
                <w:sz w:val="24"/>
              </w:rPr>
            </w:pPr>
            <w:r>
              <w:rPr>
                <w:rFonts w:hint="eastAsia" w:ascii="仿宋_GB2312" w:hAnsi="宋体" w:eastAsia="仿宋_GB2312" w:cs="宋体"/>
                <w:kern w:val="0"/>
                <w:sz w:val="24"/>
              </w:rPr>
              <w:t>用工机械（其它）</w:t>
            </w:r>
          </w:p>
        </w:tc>
        <w:tc>
          <w:tcPr>
            <w:tcW w:w="6790" w:type="dxa"/>
            <w:gridSpan w:val="9"/>
            <w:tcBorders>
              <w:top w:val="single" w:color="auto" w:sz="4" w:space="0"/>
              <w:left w:val="nil"/>
              <w:bottom w:val="single" w:color="auto" w:sz="4" w:space="0"/>
              <w:right w:val="single" w:color="auto" w:sz="4" w:space="0"/>
            </w:tcBorders>
            <w:vAlign w:val="center"/>
          </w:tcPr>
          <w:p w14:paraId="4DC37BE3">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14:paraId="13BDCEAF">
        <w:tblPrEx>
          <w:tblCellMar>
            <w:top w:w="0" w:type="dxa"/>
            <w:left w:w="108" w:type="dxa"/>
            <w:bottom w:w="0" w:type="dxa"/>
            <w:right w:w="108" w:type="dxa"/>
          </w:tblCellMar>
        </w:tblPrEx>
        <w:trPr>
          <w:gridAfter w:val="1"/>
          <w:wAfter w:w="1313" w:type="dxa"/>
          <w:trHeight w:val="725" w:hRule="atLeast"/>
        </w:trPr>
        <w:tc>
          <w:tcPr>
            <w:tcW w:w="2019" w:type="dxa"/>
            <w:tcBorders>
              <w:top w:val="single" w:color="auto" w:sz="4" w:space="0"/>
              <w:left w:val="single" w:color="auto" w:sz="4" w:space="0"/>
              <w:bottom w:val="single" w:color="auto" w:sz="4" w:space="0"/>
              <w:right w:val="single" w:color="auto" w:sz="4" w:space="0"/>
            </w:tcBorders>
            <w:vAlign w:val="center"/>
          </w:tcPr>
          <w:p w14:paraId="1727038F">
            <w:pPr>
              <w:widowControl/>
              <w:jc w:val="center"/>
              <w:rPr>
                <w:rFonts w:ascii="仿宋_GB2312" w:hAnsi="宋体" w:eastAsia="仿宋_GB2312" w:cs="宋体"/>
                <w:kern w:val="0"/>
                <w:sz w:val="24"/>
              </w:rPr>
            </w:pPr>
            <w:r>
              <w:rPr>
                <w:rFonts w:hint="eastAsia" w:ascii="仿宋_GB2312" w:hAnsi="宋体" w:eastAsia="仿宋_GB2312" w:cs="宋体"/>
                <w:kern w:val="0"/>
                <w:sz w:val="24"/>
              </w:rPr>
              <w:t>派工起止时间</w:t>
            </w:r>
          </w:p>
        </w:tc>
        <w:tc>
          <w:tcPr>
            <w:tcW w:w="6790" w:type="dxa"/>
            <w:gridSpan w:val="9"/>
            <w:tcBorders>
              <w:top w:val="single" w:color="auto" w:sz="4" w:space="0"/>
              <w:left w:val="nil"/>
              <w:bottom w:val="single" w:color="auto" w:sz="4" w:space="0"/>
              <w:right w:val="single" w:color="auto" w:sz="4" w:space="0"/>
            </w:tcBorders>
            <w:vAlign w:val="center"/>
          </w:tcPr>
          <w:p w14:paraId="45A590C3">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年     月     日     时起</w:t>
            </w:r>
          </w:p>
          <w:p w14:paraId="2ACC2FCA">
            <w:pPr>
              <w:widowControl/>
              <w:jc w:val="center"/>
              <w:rPr>
                <w:rFonts w:ascii="仿宋_GB2312" w:hAnsi="宋体" w:eastAsia="仿宋_GB2312" w:cs="宋体"/>
                <w:kern w:val="0"/>
                <w:sz w:val="24"/>
              </w:rPr>
            </w:pPr>
            <w:r>
              <w:rPr>
                <w:rFonts w:hint="eastAsia" w:ascii="仿宋_GB2312" w:hAnsi="宋体" w:eastAsia="仿宋_GB2312" w:cs="宋体"/>
                <w:kern w:val="0"/>
                <w:sz w:val="24"/>
              </w:rPr>
              <w:t>年     月     日     时止</w:t>
            </w:r>
          </w:p>
        </w:tc>
      </w:tr>
      <w:tr w14:paraId="3C06EA00">
        <w:tblPrEx>
          <w:tblCellMar>
            <w:top w:w="0" w:type="dxa"/>
            <w:left w:w="108" w:type="dxa"/>
            <w:bottom w:w="0" w:type="dxa"/>
            <w:right w:w="108" w:type="dxa"/>
          </w:tblCellMar>
        </w:tblPrEx>
        <w:trPr>
          <w:gridAfter w:val="1"/>
          <w:wAfter w:w="1313" w:type="dxa"/>
          <w:trHeight w:val="595" w:hRule="atLeast"/>
        </w:trPr>
        <w:tc>
          <w:tcPr>
            <w:tcW w:w="2019" w:type="dxa"/>
            <w:tcBorders>
              <w:top w:val="single" w:color="auto" w:sz="4" w:space="0"/>
              <w:left w:val="single" w:color="auto" w:sz="4" w:space="0"/>
              <w:bottom w:val="single" w:color="auto" w:sz="4" w:space="0"/>
              <w:right w:val="single" w:color="auto" w:sz="4" w:space="0"/>
            </w:tcBorders>
            <w:vAlign w:val="center"/>
          </w:tcPr>
          <w:p w14:paraId="44A9FE62">
            <w:pPr>
              <w:widowControl/>
              <w:jc w:val="center"/>
              <w:rPr>
                <w:rFonts w:ascii="仿宋_GB2312" w:hAnsi="宋体" w:eastAsia="仿宋_GB2312" w:cs="宋体"/>
                <w:kern w:val="0"/>
                <w:sz w:val="24"/>
              </w:rPr>
            </w:pPr>
            <w:r>
              <w:rPr>
                <w:rFonts w:hint="eastAsia" w:ascii="仿宋_GB2312" w:hAnsi="宋体" w:eastAsia="仿宋_GB2312" w:cs="宋体"/>
                <w:kern w:val="0"/>
                <w:sz w:val="24"/>
              </w:rPr>
              <w:t>用工时间（小时）</w:t>
            </w:r>
          </w:p>
        </w:tc>
        <w:tc>
          <w:tcPr>
            <w:tcW w:w="6790" w:type="dxa"/>
            <w:gridSpan w:val="9"/>
            <w:tcBorders>
              <w:top w:val="single" w:color="auto" w:sz="4" w:space="0"/>
              <w:left w:val="nil"/>
              <w:bottom w:val="single" w:color="auto" w:sz="4" w:space="0"/>
              <w:right w:val="single" w:color="auto" w:sz="4" w:space="0"/>
            </w:tcBorders>
            <w:vAlign w:val="center"/>
          </w:tcPr>
          <w:p w14:paraId="1DB28843">
            <w:pPr>
              <w:widowControl/>
              <w:rPr>
                <w:rFonts w:ascii="仿宋_GB2312" w:hAnsi="宋体" w:eastAsia="仿宋_GB2312" w:cs="宋体"/>
                <w:kern w:val="0"/>
                <w:sz w:val="24"/>
              </w:rPr>
            </w:pPr>
            <w:r>
              <w:rPr>
                <w:rFonts w:hint="eastAsia" w:ascii="仿宋_GB2312" w:hAnsi="宋体" w:eastAsia="仿宋_GB2312" w:cs="宋体"/>
                <w:kern w:val="0"/>
                <w:sz w:val="24"/>
              </w:rPr>
              <w:t>　</w:t>
            </w:r>
          </w:p>
        </w:tc>
      </w:tr>
      <w:tr w14:paraId="28C71311">
        <w:tblPrEx>
          <w:tblCellMar>
            <w:top w:w="0" w:type="dxa"/>
            <w:left w:w="108" w:type="dxa"/>
            <w:bottom w:w="0" w:type="dxa"/>
            <w:right w:w="108" w:type="dxa"/>
          </w:tblCellMar>
        </w:tblPrEx>
        <w:trPr>
          <w:gridAfter w:val="1"/>
          <w:wAfter w:w="1313" w:type="dxa"/>
          <w:trHeight w:val="499" w:hRule="atLeast"/>
        </w:trPr>
        <w:tc>
          <w:tcPr>
            <w:tcW w:w="2019" w:type="dxa"/>
            <w:tcBorders>
              <w:top w:val="single" w:color="auto" w:sz="4" w:space="0"/>
              <w:left w:val="single" w:color="auto" w:sz="4" w:space="0"/>
              <w:bottom w:val="single" w:color="auto" w:sz="4" w:space="0"/>
              <w:right w:val="single" w:color="auto" w:sz="4" w:space="0"/>
            </w:tcBorders>
            <w:vAlign w:val="center"/>
          </w:tcPr>
          <w:p w14:paraId="1EF393F1">
            <w:pPr>
              <w:widowControl/>
              <w:jc w:val="center"/>
              <w:rPr>
                <w:rFonts w:ascii="仿宋_GB2312" w:hAnsi="宋体" w:eastAsia="仿宋_GB2312" w:cs="宋体"/>
                <w:kern w:val="0"/>
                <w:sz w:val="24"/>
              </w:rPr>
            </w:pPr>
            <w:r>
              <w:rPr>
                <w:rFonts w:hint="eastAsia" w:ascii="仿宋_GB2312" w:hAnsi="宋体" w:eastAsia="仿宋_GB2312" w:cs="宋体"/>
                <w:kern w:val="0"/>
                <w:sz w:val="24"/>
              </w:rPr>
              <w:t>用工人数（人）</w:t>
            </w:r>
          </w:p>
        </w:tc>
        <w:tc>
          <w:tcPr>
            <w:tcW w:w="6790" w:type="dxa"/>
            <w:gridSpan w:val="9"/>
            <w:tcBorders>
              <w:top w:val="single" w:color="auto" w:sz="4" w:space="0"/>
              <w:left w:val="nil"/>
              <w:bottom w:val="single" w:color="auto" w:sz="4" w:space="0"/>
              <w:right w:val="single" w:color="auto" w:sz="4" w:space="0"/>
            </w:tcBorders>
            <w:vAlign w:val="center"/>
          </w:tcPr>
          <w:p w14:paraId="6856EC8C">
            <w:pPr>
              <w:widowControl/>
              <w:jc w:val="right"/>
              <w:rPr>
                <w:rFonts w:ascii="仿宋_GB2312" w:hAnsi="宋体" w:eastAsia="仿宋_GB2312" w:cs="宋体"/>
                <w:kern w:val="0"/>
                <w:sz w:val="24"/>
              </w:rPr>
            </w:pPr>
            <w:r>
              <w:rPr>
                <w:rFonts w:hint="eastAsia" w:ascii="仿宋_GB2312" w:hAnsi="宋体" w:eastAsia="仿宋_GB2312" w:cs="宋体"/>
                <w:kern w:val="0"/>
                <w:sz w:val="24"/>
              </w:rPr>
              <w:t>　</w:t>
            </w:r>
          </w:p>
          <w:p w14:paraId="6DB6E6C6">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14:paraId="3D654740">
        <w:tblPrEx>
          <w:tblCellMar>
            <w:top w:w="0" w:type="dxa"/>
            <w:left w:w="108" w:type="dxa"/>
            <w:bottom w:w="0" w:type="dxa"/>
            <w:right w:w="108" w:type="dxa"/>
          </w:tblCellMar>
        </w:tblPrEx>
        <w:trPr>
          <w:gridAfter w:val="1"/>
          <w:wAfter w:w="1313" w:type="dxa"/>
          <w:trHeight w:val="499" w:hRule="atLeast"/>
        </w:trPr>
        <w:tc>
          <w:tcPr>
            <w:tcW w:w="2019" w:type="dxa"/>
            <w:tcBorders>
              <w:top w:val="single" w:color="auto" w:sz="4" w:space="0"/>
              <w:left w:val="single" w:color="auto" w:sz="4" w:space="0"/>
              <w:bottom w:val="single" w:color="auto" w:sz="4" w:space="0"/>
              <w:right w:val="single" w:color="auto" w:sz="4" w:space="0"/>
            </w:tcBorders>
            <w:vAlign w:val="center"/>
          </w:tcPr>
          <w:p w14:paraId="22A901D8">
            <w:pPr>
              <w:widowControl/>
              <w:jc w:val="center"/>
              <w:rPr>
                <w:rFonts w:ascii="仿宋_GB2312" w:hAnsi="宋体" w:eastAsia="仿宋_GB2312" w:cs="宋体"/>
                <w:kern w:val="0"/>
                <w:sz w:val="24"/>
              </w:rPr>
            </w:pPr>
            <w:r>
              <w:rPr>
                <w:rFonts w:hint="eastAsia" w:ascii="仿宋_GB2312" w:hAnsi="宋体" w:eastAsia="仿宋_GB2312" w:cs="宋体"/>
                <w:kern w:val="0"/>
                <w:sz w:val="24"/>
              </w:rPr>
              <w:t>合计用工（时）</w:t>
            </w:r>
          </w:p>
        </w:tc>
        <w:tc>
          <w:tcPr>
            <w:tcW w:w="6790" w:type="dxa"/>
            <w:gridSpan w:val="9"/>
            <w:tcBorders>
              <w:top w:val="single" w:color="auto" w:sz="4" w:space="0"/>
              <w:left w:val="nil"/>
              <w:bottom w:val="single" w:color="auto" w:sz="4" w:space="0"/>
              <w:right w:val="single" w:color="auto" w:sz="4" w:space="0"/>
            </w:tcBorders>
            <w:vAlign w:val="center"/>
          </w:tcPr>
          <w:p w14:paraId="3753C762">
            <w:pPr>
              <w:widowControl/>
              <w:jc w:val="right"/>
              <w:rPr>
                <w:rFonts w:ascii="仿宋_GB2312" w:hAnsi="宋体" w:eastAsia="仿宋_GB2312" w:cs="宋体"/>
                <w:kern w:val="0"/>
                <w:sz w:val="24"/>
              </w:rPr>
            </w:pPr>
            <w:r>
              <w:rPr>
                <w:rFonts w:hint="eastAsia" w:ascii="仿宋_GB2312" w:hAnsi="宋体" w:eastAsia="仿宋_GB2312" w:cs="宋体"/>
                <w:kern w:val="0"/>
                <w:sz w:val="24"/>
              </w:rPr>
              <w:t>　</w:t>
            </w:r>
          </w:p>
          <w:p w14:paraId="01618E3C">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14:paraId="55E4DCB4">
        <w:tblPrEx>
          <w:tblCellMar>
            <w:top w:w="0" w:type="dxa"/>
            <w:left w:w="108" w:type="dxa"/>
            <w:bottom w:w="0" w:type="dxa"/>
            <w:right w:w="108" w:type="dxa"/>
          </w:tblCellMar>
        </w:tblPrEx>
        <w:trPr>
          <w:gridAfter w:val="1"/>
          <w:wAfter w:w="1313" w:type="dxa"/>
          <w:trHeight w:val="499" w:hRule="atLeast"/>
        </w:trPr>
        <w:tc>
          <w:tcPr>
            <w:tcW w:w="2019" w:type="dxa"/>
            <w:tcBorders>
              <w:top w:val="single" w:color="auto" w:sz="4" w:space="0"/>
              <w:left w:val="single" w:color="auto" w:sz="4" w:space="0"/>
              <w:bottom w:val="single" w:color="auto" w:sz="4" w:space="0"/>
              <w:right w:val="single" w:color="auto" w:sz="4" w:space="0"/>
            </w:tcBorders>
            <w:vAlign w:val="center"/>
          </w:tcPr>
          <w:p w14:paraId="210BB451">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派工单位联系人及电话</w:t>
            </w:r>
          </w:p>
        </w:tc>
        <w:tc>
          <w:tcPr>
            <w:tcW w:w="6790" w:type="dxa"/>
            <w:gridSpan w:val="9"/>
            <w:tcBorders>
              <w:top w:val="single" w:color="auto" w:sz="4" w:space="0"/>
              <w:left w:val="nil"/>
              <w:bottom w:val="single" w:color="auto" w:sz="4" w:space="0"/>
              <w:right w:val="single" w:color="auto" w:sz="4" w:space="0"/>
            </w:tcBorders>
            <w:vAlign w:val="center"/>
          </w:tcPr>
          <w:p w14:paraId="5585A8B0">
            <w:pPr>
              <w:widowControl/>
              <w:jc w:val="center"/>
              <w:rPr>
                <w:rFonts w:hint="eastAsia" w:ascii="仿宋_GB2312" w:hAnsi="宋体" w:eastAsia="仿宋_GB2312" w:cs="宋体"/>
                <w:kern w:val="0"/>
                <w:sz w:val="24"/>
              </w:rPr>
            </w:pPr>
          </w:p>
        </w:tc>
      </w:tr>
    </w:tbl>
    <w:p w14:paraId="4E6F4E33">
      <w:pPr>
        <w:spacing w:line="440" w:lineRule="exact"/>
        <w:rPr>
          <w:rFonts w:ascii="仿宋_GB2312" w:hAnsi="宋体" w:eastAsia="仿宋_GB2312"/>
          <w:sz w:val="24"/>
        </w:rPr>
      </w:pPr>
      <w:r>
        <w:rPr>
          <w:rFonts w:hint="eastAsia" w:ascii="仿宋_GB2312" w:hAnsi="宋体" w:eastAsia="仿宋_GB2312"/>
          <w:sz w:val="24"/>
        </w:rPr>
        <w:t>派工单位签字：             用工部门签字 ：            开单人（乙方）：</w:t>
      </w:r>
    </w:p>
    <w:p w14:paraId="3189F001">
      <w:pPr>
        <w:pStyle w:val="205"/>
        <w:rPr>
          <w:rFonts w:ascii="仿宋_GB2312" w:hAnsi="仿宋_GB2312" w:eastAsia="仿宋_GB2312" w:cs="仿宋_GB2312"/>
          <w:color w:val="000000"/>
          <w:kern w:val="2"/>
          <w:sz w:val="28"/>
          <w:szCs w:val="28"/>
        </w:rPr>
      </w:pPr>
    </w:p>
    <w:p w14:paraId="4DABF47C">
      <w:pPr>
        <w:pStyle w:val="205"/>
        <w:rPr>
          <w:rFonts w:hint="eastAsia" w:ascii="仿宋_GB2312" w:hAnsi="仿宋_GB2312" w:eastAsia="仿宋_GB2312" w:cs="仿宋_GB2312"/>
          <w:color w:val="000000"/>
          <w:kern w:val="2"/>
          <w:sz w:val="28"/>
          <w:szCs w:val="28"/>
        </w:rPr>
      </w:pPr>
    </w:p>
    <w:p w14:paraId="7B5C799C">
      <w:pPr>
        <w:pStyle w:val="205"/>
        <w:rPr>
          <w:rFonts w:hint="eastAsia" w:ascii="仿宋_GB2312" w:hAnsi="仿宋_GB2312" w:eastAsia="仿宋_GB2312" w:cs="仿宋_GB2312"/>
          <w:color w:val="000000"/>
          <w:kern w:val="2"/>
          <w:sz w:val="28"/>
          <w:szCs w:val="28"/>
        </w:rPr>
      </w:pPr>
    </w:p>
    <w:p w14:paraId="7AD9D9FF">
      <w:pPr>
        <w:pStyle w:val="205"/>
        <w:rPr>
          <w:rFonts w:hint="eastAsia" w:ascii="仿宋_GB2312" w:hAnsi="仿宋_GB2312" w:eastAsia="仿宋_GB2312" w:cs="仿宋_GB2312"/>
          <w:color w:val="000000"/>
          <w:kern w:val="2"/>
          <w:sz w:val="28"/>
          <w:szCs w:val="28"/>
        </w:rPr>
      </w:pPr>
    </w:p>
    <w:p w14:paraId="19BD223D">
      <w:pPr>
        <w:pStyle w:val="205"/>
        <w:rPr>
          <w:rFonts w:hint="eastAsia" w:ascii="仿宋_GB2312" w:hAnsi="仿宋_GB2312" w:eastAsia="仿宋_GB2312" w:cs="仿宋_GB2312"/>
          <w:color w:val="000000"/>
          <w:kern w:val="2"/>
          <w:sz w:val="28"/>
          <w:szCs w:val="28"/>
        </w:rPr>
      </w:pPr>
    </w:p>
    <w:p w14:paraId="68875BAD">
      <w:pPr>
        <w:pStyle w:val="205"/>
        <w:rPr>
          <w:rFonts w:hint="eastAsia" w:ascii="仿宋_GB2312" w:hAnsi="仿宋_GB2312" w:eastAsia="仿宋_GB2312" w:cs="仿宋_GB2312"/>
          <w:color w:val="000000"/>
          <w:kern w:val="2"/>
          <w:sz w:val="28"/>
          <w:szCs w:val="28"/>
        </w:rPr>
      </w:pPr>
    </w:p>
    <w:tbl>
      <w:tblPr>
        <w:tblStyle w:val="31"/>
        <w:tblW w:w="10340" w:type="dxa"/>
        <w:tblInd w:w="-1007" w:type="dxa"/>
        <w:tblLayout w:type="fixed"/>
        <w:tblCellMar>
          <w:top w:w="0" w:type="dxa"/>
          <w:left w:w="108" w:type="dxa"/>
          <w:bottom w:w="0" w:type="dxa"/>
          <w:right w:w="108" w:type="dxa"/>
        </w:tblCellMar>
      </w:tblPr>
      <w:tblGrid>
        <w:gridCol w:w="4660"/>
        <w:gridCol w:w="5680"/>
      </w:tblGrid>
      <w:tr w14:paraId="262C9605">
        <w:tblPrEx>
          <w:tblCellMar>
            <w:top w:w="0" w:type="dxa"/>
            <w:left w:w="108" w:type="dxa"/>
            <w:bottom w:w="0" w:type="dxa"/>
            <w:right w:w="108" w:type="dxa"/>
          </w:tblCellMar>
        </w:tblPrEx>
        <w:trPr>
          <w:trHeight w:val="960" w:hRule="atLeast"/>
        </w:trPr>
        <w:tc>
          <w:tcPr>
            <w:tcW w:w="10340" w:type="dxa"/>
            <w:gridSpan w:val="2"/>
            <w:tcBorders>
              <w:top w:val="nil"/>
              <w:left w:val="nil"/>
              <w:bottom w:val="nil"/>
              <w:right w:val="nil"/>
            </w:tcBorders>
            <w:shd w:val="clear" w:color="auto" w:fill="auto"/>
            <w:noWrap/>
            <w:vAlign w:val="center"/>
          </w:tcPr>
          <w:p w14:paraId="7786086C">
            <w:pPr>
              <w:widowControl/>
              <w:jc w:val="center"/>
              <w:rPr>
                <w:rFonts w:ascii="宋体" w:hAnsi="宋体" w:cs="宋体"/>
                <w:b/>
                <w:bCs/>
                <w:color w:val="000000"/>
                <w:kern w:val="0"/>
                <w:sz w:val="36"/>
                <w:szCs w:val="36"/>
              </w:rPr>
            </w:pPr>
            <w:bookmarkStart w:id="1" w:name="RANGE!A1:B11"/>
            <w:r>
              <w:rPr>
                <w:rFonts w:hint="eastAsia" w:ascii="宋体" w:hAnsi="宋体" w:cs="宋体"/>
                <w:b/>
                <w:bCs/>
                <w:color w:val="000000"/>
                <w:kern w:val="0"/>
                <w:sz w:val="36"/>
                <w:szCs w:val="36"/>
              </w:rPr>
              <w:t>运送包装物料结算单</w:t>
            </w:r>
            <w:bookmarkEnd w:id="1"/>
          </w:p>
        </w:tc>
      </w:tr>
      <w:tr w14:paraId="7B8E4FD5">
        <w:tblPrEx>
          <w:tblCellMar>
            <w:top w:w="0" w:type="dxa"/>
            <w:left w:w="108" w:type="dxa"/>
            <w:bottom w:w="0" w:type="dxa"/>
            <w:right w:w="108" w:type="dxa"/>
          </w:tblCellMar>
        </w:tblPrEx>
        <w:trPr>
          <w:trHeight w:val="900" w:hRule="atLeast"/>
        </w:trPr>
        <w:tc>
          <w:tcPr>
            <w:tcW w:w="4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19799E">
            <w:pPr>
              <w:widowControl/>
              <w:jc w:val="center"/>
              <w:rPr>
                <w:rFonts w:ascii="宋体" w:hAnsi="宋体" w:cs="宋体"/>
                <w:b/>
                <w:bCs/>
                <w:color w:val="000000"/>
                <w:kern w:val="0"/>
                <w:sz w:val="24"/>
              </w:rPr>
            </w:pPr>
            <w:r>
              <w:rPr>
                <w:rFonts w:hint="eastAsia" w:ascii="宋体" w:hAnsi="宋体" w:cs="宋体"/>
                <w:b/>
                <w:bCs/>
                <w:color w:val="000000"/>
                <w:kern w:val="0"/>
                <w:sz w:val="24"/>
              </w:rPr>
              <w:t>时间</w:t>
            </w:r>
          </w:p>
        </w:tc>
        <w:tc>
          <w:tcPr>
            <w:tcW w:w="5680" w:type="dxa"/>
            <w:tcBorders>
              <w:top w:val="single" w:color="auto" w:sz="4" w:space="0"/>
              <w:left w:val="nil"/>
              <w:bottom w:val="single" w:color="auto" w:sz="4" w:space="0"/>
              <w:right w:val="single" w:color="auto" w:sz="4" w:space="0"/>
            </w:tcBorders>
            <w:shd w:val="clear" w:color="auto" w:fill="auto"/>
            <w:noWrap/>
            <w:vAlign w:val="center"/>
          </w:tcPr>
          <w:p w14:paraId="164D2993">
            <w:pPr>
              <w:widowControl/>
              <w:jc w:val="center"/>
              <w:rPr>
                <w:rFonts w:ascii="宋体" w:hAnsi="宋体" w:cs="宋体"/>
                <w:color w:val="000000"/>
                <w:kern w:val="0"/>
                <w:sz w:val="24"/>
              </w:rPr>
            </w:pPr>
          </w:p>
        </w:tc>
      </w:tr>
      <w:tr w14:paraId="111F6A8A">
        <w:tblPrEx>
          <w:tblCellMar>
            <w:top w:w="0" w:type="dxa"/>
            <w:left w:w="108" w:type="dxa"/>
            <w:bottom w:w="0" w:type="dxa"/>
            <w:right w:w="108" w:type="dxa"/>
          </w:tblCellMar>
        </w:tblPrEx>
        <w:trPr>
          <w:trHeight w:val="900" w:hRule="atLeast"/>
        </w:trPr>
        <w:tc>
          <w:tcPr>
            <w:tcW w:w="4660" w:type="dxa"/>
            <w:tcBorders>
              <w:top w:val="nil"/>
              <w:left w:val="single" w:color="auto" w:sz="4" w:space="0"/>
              <w:bottom w:val="single" w:color="auto" w:sz="4" w:space="0"/>
              <w:right w:val="single" w:color="auto" w:sz="4" w:space="0"/>
            </w:tcBorders>
            <w:shd w:val="clear" w:color="auto" w:fill="auto"/>
            <w:noWrap/>
            <w:vAlign w:val="center"/>
          </w:tcPr>
          <w:p w14:paraId="287AC579">
            <w:pPr>
              <w:widowControl/>
              <w:jc w:val="center"/>
              <w:rPr>
                <w:rFonts w:ascii="宋体" w:hAnsi="宋体" w:cs="宋体"/>
                <w:b/>
                <w:bCs/>
                <w:color w:val="000000"/>
                <w:kern w:val="0"/>
                <w:sz w:val="24"/>
              </w:rPr>
            </w:pPr>
            <w:r>
              <w:rPr>
                <w:rFonts w:hint="eastAsia" w:ascii="宋体" w:hAnsi="宋体" w:cs="宋体"/>
                <w:b/>
                <w:bCs/>
                <w:color w:val="000000"/>
                <w:kern w:val="0"/>
                <w:sz w:val="24"/>
              </w:rPr>
              <w:t>用车事由</w:t>
            </w:r>
          </w:p>
        </w:tc>
        <w:tc>
          <w:tcPr>
            <w:tcW w:w="5680" w:type="dxa"/>
            <w:tcBorders>
              <w:top w:val="nil"/>
              <w:left w:val="nil"/>
              <w:bottom w:val="single" w:color="auto" w:sz="4" w:space="0"/>
              <w:right w:val="single" w:color="auto" w:sz="4" w:space="0"/>
            </w:tcBorders>
            <w:shd w:val="clear" w:color="auto" w:fill="auto"/>
            <w:noWrap/>
            <w:vAlign w:val="center"/>
          </w:tcPr>
          <w:p w14:paraId="51E39F06">
            <w:pPr>
              <w:widowControl/>
              <w:jc w:val="center"/>
              <w:rPr>
                <w:rFonts w:ascii="宋体" w:hAnsi="宋体" w:cs="宋体"/>
                <w:color w:val="000000"/>
                <w:kern w:val="0"/>
                <w:sz w:val="24"/>
              </w:rPr>
            </w:pPr>
          </w:p>
        </w:tc>
      </w:tr>
      <w:tr w14:paraId="424136BB">
        <w:tblPrEx>
          <w:tblCellMar>
            <w:top w:w="0" w:type="dxa"/>
            <w:left w:w="108" w:type="dxa"/>
            <w:bottom w:w="0" w:type="dxa"/>
            <w:right w:w="108" w:type="dxa"/>
          </w:tblCellMar>
        </w:tblPrEx>
        <w:trPr>
          <w:trHeight w:val="900" w:hRule="atLeast"/>
        </w:trPr>
        <w:tc>
          <w:tcPr>
            <w:tcW w:w="4660" w:type="dxa"/>
            <w:tcBorders>
              <w:top w:val="nil"/>
              <w:left w:val="single" w:color="auto" w:sz="4" w:space="0"/>
              <w:bottom w:val="single" w:color="auto" w:sz="4" w:space="0"/>
              <w:right w:val="single" w:color="auto" w:sz="4" w:space="0"/>
            </w:tcBorders>
            <w:shd w:val="clear" w:color="auto" w:fill="auto"/>
            <w:noWrap/>
            <w:vAlign w:val="center"/>
          </w:tcPr>
          <w:p w14:paraId="7DE7F6DB">
            <w:pPr>
              <w:widowControl/>
              <w:jc w:val="center"/>
              <w:rPr>
                <w:rFonts w:ascii="宋体" w:hAnsi="宋体" w:cs="宋体"/>
                <w:b/>
                <w:bCs/>
                <w:color w:val="000000"/>
                <w:kern w:val="0"/>
                <w:sz w:val="24"/>
              </w:rPr>
            </w:pPr>
            <w:r>
              <w:rPr>
                <w:rFonts w:hint="eastAsia" w:ascii="宋体" w:hAnsi="宋体" w:cs="宋体"/>
                <w:b/>
                <w:bCs/>
                <w:color w:val="000000"/>
                <w:kern w:val="0"/>
                <w:sz w:val="24"/>
              </w:rPr>
              <w:t>起止地点</w:t>
            </w:r>
          </w:p>
        </w:tc>
        <w:tc>
          <w:tcPr>
            <w:tcW w:w="5680" w:type="dxa"/>
            <w:tcBorders>
              <w:top w:val="nil"/>
              <w:left w:val="nil"/>
              <w:bottom w:val="single" w:color="auto" w:sz="4" w:space="0"/>
              <w:right w:val="single" w:color="auto" w:sz="4" w:space="0"/>
            </w:tcBorders>
            <w:shd w:val="clear" w:color="auto" w:fill="auto"/>
            <w:vAlign w:val="center"/>
          </w:tcPr>
          <w:p w14:paraId="3AD590A6">
            <w:pPr>
              <w:widowControl/>
              <w:rPr>
                <w:rFonts w:ascii="宋体" w:hAnsi="宋体" w:cs="宋体"/>
                <w:color w:val="000000"/>
                <w:kern w:val="0"/>
                <w:sz w:val="24"/>
              </w:rPr>
            </w:pPr>
          </w:p>
        </w:tc>
      </w:tr>
      <w:tr w14:paraId="238D3FFE">
        <w:tblPrEx>
          <w:tblCellMar>
            <w:top w:w="0" w:type="dxa"/>
            <w:left w:w="108" w:type="dxa"/>
            <w:bottom w:w="0" w:type="dxa"/>
            <w:right w:w="108" w:type="dxa"/>
          </w:tblCellMar>
        </w:tblPrEx>
        <w:trPr>
          <w:trHeight w:val="900" w:hRule="atLeast"/>
        </w:trPr>
        <w:tc>
          <w:tcPr>
            <w:tcW w:w="4660" w:type="dxa"/>
            <w:tcBorders>
              <w:top w:val="nil"/>
              <w:left w:val="single" w:color="auto" w:sz="4" w:space="0"/>
              <w:bottom w:val="single" w:color="auto" w:sz="4" w:space="0"/>
              <w:right w:val="single" w:color="auto" w:sz="4" w:space="0"/>
            </w:tcBorders>
            <w:shd w:val="clear" w:color="auto" w:fill="auto"/>
            <w:noWrap/>
            <w:vAlign w:val="center"/>
          </w:tcPr>
          <w:p w14:paraId="1B7D6F77">
            <w:pPr>
              <w:widowControl/>
              <w:jc w:val="center"/>
              <w:rPr>
                <w:rFonts w:ascii="宋体" w:hAnsi="宋体" w:cs="宋体"/>
                <w:b/>
                <w:bCs/>
                <w:color w:val="000000"/>
                <w:kern w:val="0"/>
                <w:sz w:val="24"/>
              </w:rPr>
            </w:pPr>
            <w:r>
              <w:rPr>
                <w:rFonts w:hint="eastAsia" w:ascii="宋体" w:hAnsi="宋体" w:cs="宋体"/>
                <w:b/>
                <w:bCs/>
                <w:color w:val="000000"/>
                <w:kern w:val="0"/>
                <w:sz w:val="24"/>
              </w:rPr>
              <w:t>运输单位</w:t>
            </w:r>
          </w:p>
        </w:tc>
        <w:tc>
          <w:tcPr>
            <w:tcW w:w="5680" w:type="dxa"/>
            <w:tcBorders>
              <w:top w:val="nil"/>
              <w:left w:val="nil"/>
              <w:bottom w:val="single" w:color="auto" w:sz="4" w:space="0"/>
              <w:right w:val="single" w:color="auto" w:sz="4" w:space="0"/>
            </w:tcBorders>
            <w:shd w:val="clear" w:color="auto" w:fill="auto"/>
            <w:noWrap/>
            <w:vAlign w:val="center"/>
          </w:tcPr>
          <w:p w14:paraId="2C21555B">
            <w:pPr>
              <w:widowControl/>
              <w:jc w:val="center"/>
              <w:rPr>
                <w:rFonts w:ascii="宋体" w:hAnsi="宋体" w:cs="宋体"/>
                <w:color w:val="000000"/>
                <w:kern w:val="0"/>
                <w:sz w:val="24"/>
              </w:rPr>
            </w:pPr>
          </w:p>
        </w:tc>
      </w:tr>
      <w:tr w14:paraId="0BD3A5CB">
        <w:tblPrEx>
          <w:tblCellMar>
            <w:top w:w="0" w:type="dxa"/>
            <w:left w:w="108" w:type="dxa"/>
            <w:bottom w:w="0" w:type="dxa"/>
            <w:right w:w="108" w:type="dxa"/>
          </w:tblCellMar>
        </w:tblPrEx>
        <w:trPr>
          <w:trHeight w:val="900" w:hRule="atLeast"/>
        </w:trPr>
        <w:tc>
          <w:tcPr>
            <w:tcW w:w="4660" w:type="dxa"/>
            <w:tcBorders>
              <w:top w:val="nil"/>
              <w:left w:val="single" w:color="auto" w:sz="4" w:space="0"/>
              <w:bottom w:val="single" w:color="auto" w:sz="4" w:space="0"/>
              <w:right w:val="single" w:color="auto" w:sz="4" w:space="0"/>
            </w:tcBorders>
            <w:shd w:val="clear" w:color="auto" w:fill="auto"/>
            <w:noWrap/>
            <w:vAlign w:val="center"/>
          </w:tcPr>
          <w:p w14:paraId="305DBF01">
            <w:pPr>
              <w:widowControl/>
              <w:jc w:val="center"/>
              <w:rPr>
                <w:rFonts w:ascii="宋体" w:hAnsi="宋体" w:cs="宋体"/>
                <w:b/>
                <w:bCs/>
                <w:color w:val="000000"/>
                <w:kern w:val="0"/>
                <w:sz w:val="24"/>
              </w:rPr>
            </w:pPr>
            <w:r>
              <w:rPr>
                <w:rFonts w:hint="eastAsia" w:ascii="宋体" w:hAnsi="宋体" w:cs="宋体"/>
                <w:b/>
                <w:bCs/>
                <w:color w:val="000000"/>
                <w:kern w:val="0"/>
                <w:sz w:val="24"/>
              </w:rPr>
              <w:t>车号</w:t>
            </w:r>
          </w:p>
        </w:tc>
        <w:tc>
          <w:tcPr>
            <w:tcW w:w="5680" w:type="dxa"/>
            <w:tcBorders>
              <w:top w:val="nil"/>
              <w:left w:val="nil"/>
              <w:bottom w:val="single" w:color="auto" w:sz="4" w:space="0"/>
              <w:right w:val="single" w:color="auto" w:sz="4" w:space="0"/>
            </w:tcBorders>
            <w:shd w:val="clear" w:color="auto" w:fill="auto"/>
            <w:noWrap/>
            <w:vAlign w:val="center"/>
          </w:tcPr>
          <w:p w14:paraId="3FF23422">
            <w:pPr>
              <w:widowControl/>
              <w:rPr>
                <w:rFonts w:ascii="宋体" w:hAnsi="宋体" w:cs="宋体"/>
                <w:color w:val="000000"/>
                <w:kern w:val="0"/>
                <w:sz w:val="24"/>
              </w:rPr>
            </w:pPr>
          </w:p>
        </w:tc>
      </w:tr>
      <w:tr w14:paraId="042E5476">
        <w:tblPrEx>
          <w:tblCellMar>
            <w:top w:w="0" w:type="dxa"/>
            <w:left w:w="108" w:type="dxa"/>
            <w:bottom w:w="0" w:type="dxa"/>
            <w:right w:w="108" w:type="dxa"/>
          </w:tblCellMar>
        </w:tblPrEx>
        <w:trPr>
          <w:trHeight w:val="900" w:hRule="atLeast"/>
        </w:trPr>
        <w:tc>
          <w:tcPr>
            <w:tcW w:w="4660" w:type="dxa"/>
            <w:tcBorders>
              <w:top w:val="nil"/>
              <w:left w:val="single" w:color="auto" w:sz="4" w:space="0"/>
              <w:bottom w:val="single" w:color="auto" w:sz="4" w:space="0"/>
              <w:right w:val="single" w:color="auto" w:sz="4" w:space="0"/>
            </w:tcBorders>
            <w:shd w:val="clear" w:color="auto" w:fill="auto"/>
            <w:noWrap/>
            <w:vAlign w:val="center"/>
          </w:tcPr>
          <w:p w14:paraId="51FF6422">
            <w:pPr>
              <w:widowControl/>
              <w:jc w:val="center"/>
              <w:rPr>
                <w:rFonts w:ascii="宋体" w:hAnsi="宋体" w:cs="宋体"/>
                <w:b/>
                <w:bCs/>
                <w:color w:val="000000"/>
                <w:kern w:val="0"/>
                <w:sz w:val="24"/>
              </w:rPr>
            </w:pPr>
            <w:r>
              <w:rPr>
                <w:rFonts w:hint="eastAsia" w:ascii="宋体" w:hAnsi="宋体" w:cs="宋体"/>
                <w:b/>
                <w:bCs/>
                <w:color w:val="000000"/>
                <w:kern w:val="0"/>
                <w:sz w:val="24"/>
              </w:rPr>
              <w:t>驾驶员(签字）</w:t>
            </w:r>
          </w:p>
        </w:tc>
        <w:tc>
          <w:tcPr>
            <w:tcW w:w="5680" w:type="dxa"/>
            <w:tcBorders>
              <w:top w:val="nil"/>
              <w:left w:val="nil"/>
              <w:bottom w:val="single" w:color="auto" w:sz="4" w:space="0"/>
              <w:right w:val="single" w:color="auto" w:sz="4" w:space="0"/>
            </w:tcBorders>
            <w:shd w:val="clear" w:color="auto" w:fill="auto"/>
            <w:noWrap/>
            <w:vAlign w:val="center"/>
          </w:tcPr>
          <w:p w14:paraId="397494D2">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59AD6D3A">
        <w:tblPrEx>
          <w:tblCellMar>
            <w:top w:w="0" w:type="dxa"/>
            <w:left w:w="108" w:type="dxa"/>
            <w:bottom w:w="0" w:type="dxa"/>
            <w:right w:w="108" w:type="dxa"/>
          </w:tblCellMar>
        </w:tblPrEx>
        <w:trPr>
          <w:trHeight w:val="900" w:hRule="atLeast"/>
        </w:trPr>
        <w:tc>
          <w:tcPr>
            <w:tcW w:w="4660" w:type="dxa"/>
            <w:tcBorders>
              <w:top w:val="nil"/>
              <w:left w:val="single" w:color="auto" w:sz="4" w:space="0"/>
              <w:bottom w:val="single" w:color="auto" w:sz="4" w:space="0"/>
              <w:right w:val="single" w:color="auto" w:sz="4" w:space="0"/>
            </w:tcBorders>
            <w:shd w:val="clear" w:color="auto" w:fill="auto"/>
            <w:noWrap/>
            <w:vAlign w:val="center"/>
          </w:tcPr>
          <w:p w14:paraId="6772AB58">
            <w:pPr>
              <w:widowControl/>
              <w:jc w:val="center"/>
              <w:rPr>
                <w:rFonts w:ascii="宋体" w:hAnsi="宋体" w:cs="宋体"/>
                <w:b/>
                <w:bCs/>
                <w:color w:val="000000"/>
                <w:kern w:val="0"/>
                <w:sz w:val="24"/>
              </w:rPr>
            </w:pPr>
            <w:r>
              <w:rPr>
                <w:rFonts w:hint="eastAsia" w:ascii="宋体" w:hAnsi="宋体" w:cs="宋体"/>
                <w:b/>
                <w:bCs/>
                <w:color w:val="000000"/>
                <w:kern w:val="0"/>
                <w:sz w:val="24"/>
              </w:rPr>
              <w:t>接收单位（签字）</w:t>
            </w:r>
          </w:p>
        </w:tc>
        <w:tc>
          <w:tcPr>
            <w:tcW w:w="5680" w:type="dxa"/>
            <w:tcBorders>
              <w:top w:val="nil"/>
              <w:left w:val="nil"/>
              <w:bottom w:val="single" w:color="auto" w:sz="4" w:space="0"/>
              <w:right w:val="single" w:color="auto" w:sz="4" w:space="0"/>
            </w:tcBorders>
            <w:shd w:val="clear" w:color="auto" w:fill="auto"/>
            <w:noWrap/>
            <w:vAlign w:val="center"/>
          </w:tcPr>
          <w:p w14:paraId="24BE6249">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1348A3B9">
        <w:tblPrEx>
          <w:tblCellMar>
            <w:top w:w="0" w:type="dxa"/>
            <w:left w:w="108" w:type="dxa"/>
            <w:bottom w:w="0" w:type="dxa"/>
            <w:right w:w="108" w:type="dxa"/>
          </w:tblCellMar>
        </w:tblPrEx>
        <w:trPr>
          <w:trHeight w:val="900" w:hRule="atLeast"/>
        </w:trPr>
        <w:tc>
          <w:tcPr>
            <w:tcW w:w="4660" w:type="dxa"/>
            <w:tcBorders>
              <w:top w:val="nil"/>
              <w:left w:val="single" w:color="auto" w:sz="4" w:space="0"/>
              <w:bottom w:val="single" w:color="auto" w:sz="4" w:space="0"/>
              <w:right w:val="single" w:color="auto" w:sz="4" w:space="0"/>
            </w:tcBorders>
            <w:shd w:val="clear" w:color="auto" w:fill="auto"/>
            <w:noWrap/>
            <w:vAlign w:val="center"/>
          </w:tcPr>
          <w:p w14:paraId="4291B03B">
            <w:pPr>
              <w:widowControl/>
              <w:jc w:val="center"/>
              <w:rPr>
                <w:rFonts w:ascii="宋体" w:hAnsi="宋体" w:cs="宋体"/>
                <w:b/>
                <w:bCs/>
                <w:color w:val="000000"/>
                <w:kern w:val="0"/>
                <w:sz w:val="24"/>
              </w:rPr>
            </w:pPr>
            <w:r>
              <w:rPr>
                <w:rFonts w:hint="eastAsia" w:ascii="宋体" w:hAnsi="宋体" w:cs="宋体"/>
                <w:b/>
                <w:bCs/>
                <w:color w:val="000000"/>
                <w:kern w:val="0"/>
                <w:sz w:val="24"/>
              </w:rPr>
              <w:t>运输单位（盖章）</w:t>
            </w:r>
          </w:p>
        </w:tc>
        <w:tc>
          <w:tcPr>
            <w:tcW w:w="5680" w:type="dxa"/>
            <w:tcBorders>
              <w:top w:val="nil"/>
              <w:left w:val="nil"/>
              <w:bottom w:val="single" w:color="auto" w:sz="4" w:space="0"/>
              <w:right w:val="single" w:color="auto" w:sz="4" w:space="0"/>
            </w:tcBorders>
            <w:shd w:val="clear" w:color="auto" w:fill="auto"/>
            <w:noWrap/>
            <w:vAlign w:val="center"/>
          </w:tcPr>
          <w:p w14:paraId="405993A9">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0090BACC">
        <w:tblPrEx>
          <w:tblCellMar>
            <w:top w:w="0" w:type="dxa"/>
            <w:left w:w="108" w:type="dxa"/>
            <w:bottom w:w="0" w:type="dxa"/>
            <w:right w:w="108" w:type="dxa"/>
          </w:tblCellMar>
        </w:tblPrEx>
        <w:trPr>
          <w:trHeight w:val="900" w:hRule="atLeast"/>
        </w:trPr>
        <w:tc>
          <w:tcPr>
            <w:tcW w:w="4660" w:type="dxa"/>
            <w:tcBorders>
              <w:top w:val="nil"/>
              <w:left w:val="single" w:color="auto" w:sz="4" w:space="0"/>
              <w:bottom w:val="single" w:color="auto" w:sz="4" w:space="0"/>
              <w:right w:val="single" w:color="auto" w:sz="4" w:space="0"/>
            </w:tcBorders>
            <w:shd w:val="clear" w:color="auto" w:fill="auto"/>
            <w:noWrap/>
            <w:vAlign w:val="center"/>
          </w:tcPr>
          <w:p w14:paraId="58942E3F">
            <w:pPr>
              <w:widowControl/>
              <w:jc w:val="center"/>
              <w:rPr>
                <w:rFonts w:ascii="宋体" w:hAnsi="宋体" w:cs="宋体"/>
                <w:b/>
                <w:bCs/>
                <w:color w:val="000000"/>
                <w:kern w:val="0"/>
                <w:sz w:val="24"/>
              </w:rPr>
            </w:pPr>
            <w:r>
              <w:rPr>
                <w:rFonts w:hint="eastAsia" w:ascii="宋体" w:hAnsi="宋体" w:cs="宋体"/>
                <w:b/>
                <w:bCs/>
                <w:color w:val="000000"/>
                <w:kern w:val="0"/>
                <w:sz w:val="24"/>
              </w:rPr>
              <w:t>结算金额</w:t>
            </w:r>
          </w:p>
        </w:tc>
        <w:tc>
          <w:tcPr>
            <w:tcW w:w="5680" w:type="dxa"/>
            <w:tcBorders>
              <w:top w:val="nil"/>
              <w:left w:val="nil"/>
              <w:bottom w:val="single" w:color="auto" w:sz="4" w:space="0"/>
              <w:right w:val="single" w:color="auto" w:sz="4" w:space="0"/>
            </w:tcBorders>
            <w:shd w:val="clear" w:color="auto" w:fill="auto"/>
            <w:noWrap/>
            <w:vAlign w:val="center"/>
          </w:tcPr>
          <w:p w14:paraId="49404E71">
            <w:pPr>
              <w:widowControl/>
              <w:rPr>
                <w:rFonts w:ascii="宋体" w:hAnsi="宋体" w:cs="宋体"/>
                <w:color w:val="000000"/>
                <w:kern w:val="0"/>
                <w:sz w:val="24"/>
              </w:rPr>
            </w:pPr>
            <w:r>
              <w:rPr>
                <w:rFonts w:hint="eastAsia" w:ascii="宋体" w:hAnsi="宋体" w:cs="宋体"/>
                <w:color w:val="000000"/>
                <w:kern w:val="0"/>
                <w:sz w:val="24"/>
              </w:rPr>
              <w:t xml:space="preserve">                        </w:t>
            </w:r>
          </w:p>
        </w:tc>
      </w:tr>
      <w:tr w14:paraId="2BEA658D">
        <w:tblPrEx>
          <w:tblCellMar>
            <w:top w:w="0" w:type="dxa"/>
            <w:left w:w="108" w:type="dxa"/>
            <w:bottom w:w="0" w:type="dxa"/>
            <w:right w:w="108" w:type="dxa"/>
          </w:tblCellMar>
        </w:tblPrEx>
        <w:trPr>
          <w:trHeight w:val="900" w:hRule="atLeast"/>
        </w:trPr>
        <w:tc>
          <w:tcPr>
            <w:tcW w:w="4660" w:type="dxa"/>
            <w:tcBorders>
              <w:top w:val="nil"/>
              <w:left w:val="single" w:color="auto" w:sz="4" w:space="0"/>
              <w:bottom w:val="single" w:color="auto" w:sz="4" w:space="0"/>
              <w:right w:val="single" w:color="auto" w:sz="4" w:space="0"/>
            </w:tcBorders>
            <w:shd w:val="clear" w:color="auto" w:fill="auto"/>
            <w:vAlign w:val="center"/>
          </w:tcPr>
          <w:p w14:paraId="53B5CB74">
            <w:pPr>
              <w:widowControl/>
              <w:jc w:val="center"/>
              <w:rPr>
                <w:rFonts w:ascii="宋体" w:hAnsi="宋体" w:cs="宋体"/>
                <w:b/>
                <w:bCs/>
                <w:color w:val="000000"/>
                <w:kern w:val="0"/>
                <w:sz w:val="24"/>
              </w:rPr>
            </w:pPr>
            <w:r>
              <w:rPr>
                <w:rFonts w:hint="eastAsia" w:ascii="宋体" w:hAnsi="宋体" w:cs="宋体"/>
                <w:b/>
                <w:bCs/>
                <w:color w:val="000000"/>
                <w:kern w:val="0"/>
                <w:sz w:val="24"/>
              </w:rPr>
              <w:t>宁德市福化环保科技有限公司</w:t>
            </w:r>
            <w:r>
              <w:rPr>
                <w:rFonts w:hint="eastAsia" w:ascii="宋体" w:hAnsi="宋体" w:cs="宋体"/>
                <w:b/>
                <w:bCs/>
                <w:color w:val="000000"/>
                <w:kern w:val="0"/>
                <w:sz w:val="24"/>
              </w:rPr>
              <w:br w:type="textWrapping"/>
            </w:r>
            <w:r>
              <w:rPr>
                <w:rFonts w:hint="eastAsia" w:ascii="宋体" w:hAnsi="宋体" w:cs="宋体"/>
                <w:b/>
                <w:bCs/>
                <w:color w:val="000000"/>
                <w:kern w:val="0"/>
                <w:sz w:val="24"/>
              </w:rPr>
              <w:t>（经办签字）</w:t>
            </w:r>
          </w:p>
        </w:tc>
        <w:tc>
          <w:tcPr>
            <w:tcW w:w="5680" w:type="dxa"/>
            <w:tcBorders>
              <w:top w:val="nil"/>
              <w:left w:val="nil"/>
              <w:bottom w:val="single" w:color="auto" w:sz="4" w:space="0"/>
              <w:right w:val="single" w:color="auto" w:sz="4" w:space="0"/>
            </w:tcBorders>
            <w:shd w:val="clear" w:color="auto" w:fill="auto"/>
            <w:noWrap/>
            <w:vAlign w:val="center"/>
          </w:tcPr>
          <w:p w14:paraId="59D23EAE">
            <w:pPr>
              <w:widowControl/>
              <w:jc w:val="center"/>
              <w:rPr>
                <w:rFonts w:ascii="宋体" w:hAnsi="宋体" w:cs="宋体"/>
                <w:color w:val="000000"/>
                <w:kern w:val="0"/>
                <w:sz w:val="24"/>
              </w:rPr>
            </w:pPr>
            <w:r>
              <w:rPr>
                <w:rFonts w:hint="eastAsia" w:ascii="宋体" w:hAnsi="宋体" w:cs="宋体"/>
                <w:color w:val="000000"/>
                <w:kern w:val="0"/>
                <w:sz w:val="24"/>
              </w:rPr>
              <w:t>　</w:t>
            </w:r>
          </w:p>
        </w:tc>
      </w:tr>
    </w:tbl>
    <w:p w14:paraId="7E5D0BD9">
      <w:pPr>
        <w:pStyle w:val="205"/>
        <w:rPr>
          <w:rFonts w:ascii="仿宋_GB2312" w:hAnsi="仿宋_GB2312" w:eastAsia="仿宋_GB2312" w:cs="仿宋_GB2312"/>
          <w:color w:val="000000"/>
          <w:kern w:val="2"/>
          <w:sz w:val="28"/>
          <w:szCs w:val="28"/>
        </w:rPr>
      </w:pPr>
    </w:p>
    <w:p w14:paraId="0B8FC75C">
      <w:pPr>
        <w:pStyle w:val="19"/>
        <w:spacing w:line="500" w:lineRule="exact"/>
        <w:rPr>
          <w:rFonts w:hint="eastAsia" w:ascii="黑体" w:hAnsi="黑体" w:eastAsia="黑体" w:cs="黑体"/>
          <w:bCs/>
          <w:sz w:val="28"/>
          <w:szCs w:val="28"/>
        </w:rPr>
      </w:pPr>
    </w:p>
    <w:p w14:paraId="7FF8BCE6">
      <w:pPr>
        <w:pStyle w:val="19"/>
        <w:spacing w:line="500" w:lineRule="exact"/>
        <w:rPr>
          <w:rFonts w:hint="eastAsia" w:ascii="黑体" w:hAnsi="黑体" w:eastAsia="黑体" w:cs="黑体"/>
          <w:bCs/>
          <w:sz w:val="28"/>
          <w:szCs w:val="28"/>
        </w:rPr>
      </w:pPr>
    </w:p>
    <w:p w14:paraId="159B6FD9">
      <w:pPr>
        <w:pStyle w:val="19"/>
        <w:spacing w:line="500" w:lineRule="exact"/>
        <w:rPr>
          <w:rFonts w:hint="eastAsia" w:ascii="黑体" w:hAnsi="黑体" w:eastAsia="黑体" w:cs="黑体"/>
          <w:bCs/>
          <w:sz w:val="28"/>
          <w:szCs w:val="28"/>
        </w:rPr>
      </w:pPr>
    </w:p>
    <w:p w14:paraId="65EC9C11">
      <w:pPr>
        <w:pStyle w:val="19"/>
        <w:spacing w:line="500" w:lineRule="exact"/>
        <w:rPr>
          <w:rFonts w:hint="eastAsia" w:ascii="黑体" w:hAnsi="黑体" w:eastAsia="黑体" w:cs="黑体"/>
          <w:bCs/>
          <w:sz w:val="28"/>
          <w:szCs w:val="28"/>
        </w:rPr>
      </w:pPr>
    </w:p>
    <w:p w14:paraId="0BB4D1C8">
      <w:pPr>
        <w:pStyle w:val="19"/>
        <w:spacing w:line="500" w:lineRule="exact"/>
        <w:rPr>
          <w:rFonts w:hint="eastAsia" w:ascii="黑体" w:hAnsi="黑体" w:eastAsia="黑体" w:cs="黑体"/>
          <w:bCs/>
          <w:sz w:val="28"/>
          <w:szCs w:val="28"/>
        </w:rPr>
      </w:pPr>
    </w:p>
    <w:p w14:paraId="70101195">
      <w:pPr>
        <w:pStyle w:val="19"/>
        <w:spacing w:line="500" w:lineRule="exact"/>
        <w:rPr>
          <w:rFonts w:hint="eastAsia" w:ascii="黑体" w:hAnsi="黑体" w:eastAsia="黑体" w:cs="黑体"/>
          <w:bCs/>
          <w:sz w:val="28"/>
          <w:szCs w:val="28"/>
        </w:rPr>
      </w:pPr>
    </w:p>
    <w:p w14:paraId="5FE36418">
      <w:pPr>
        <w:pStyle w:val="19"/>
        <w:spacing w:line="500" w:lineRule="exact"/>
        <w:rPr>
          <w:rFonts w:hint="eastAsia" w:ascii="黑体" w:hAnsi="黑体" w:eastAsia="黑体" w:cs="黑体"/>
          <w:bCs/>
          <w:sz w:val="28"/>
          <w:szCs w:val="28"/>
        </w:rPr>
      </w:pPr>
      <w:r>
        <w:rPr>
          <w:rFonts w:hint="eastAsia" w:ascii="黑体" w:hAnsi="黑体" w:eastAsia="黑体" w:cs="黑体"/>
          <w:bCs/>
          <w:sz w:val="28"/>
          <w:szCs w:val="28"/>
        </w:rPr>
        <w:t>附件：</w:t>
      </w:r>
    </w:p>
    <w:p w14:paraId="3AF98929">
      <w:pPr>
        <w:pStyle w:val="19"/>
        <w:spacing w:line="500" w:lineRule="exact"/>
        <w:jc w:val="center"/>
        <w:rPr>
          <w:rFonts w:hint="eastAsia" w:ascii="仿宋_GB2312" w:hAnsi="仿宋_GB2312" w:eastAsia="仿宋_GB2312" w:cs="仿宋_GB2312"/>
          <w:b/>
          <w:bCs/>
          <w:sz w:val="28"/>
          <w:szCs w:val="28"/>
        </w:rPr>
      </w:pPr>
      <w:r>
        <w:rPr>
          <w:rFonts w:hint="eastAsia" w:ascii="方正小标宋简体" w:hAnsi="方正小标宋简体" w:eastAsia="方正小标宋简体" w:cs="方正小标宋简体"/>
          <w:bCs/>
          <w:sz w:val="44"/>
          <w:szCs w:val="44"/>
        </w:rPr>
        <w:t>物流运输供应商考核评分表</w:t>
      </w:r>
    </w:p>
    <w:p w14:paraId="5B8A5355">
      <w:pPr>
        <w:pStyle w:val="19"/>
        <w:spacing w:line="400" w:lineRule="exact"/>
        <w:jc w:val="center"/>
        <w:rPr>
          <w:rFonts w:hint="eastAsia" w:hAnsi="宋体"/>
          <w:b/>
          <w:bCs/>
          <w:sz w:val="28"/>
          <w:szCs w:val="28"/>
        </w:rPr>
      </w:pPr>
    </w:p>
    <w:p w14:paraId="6688D987">
      <w:pPr>
        <w:pStyle w:val="19"/>
        <w:spacing w:line="400" w:lineRule="exact"/>
        <w:jc w:val="left"/>
        <w:rPr>
          <w:rFonts w:hint="eastAsia" w:ascii="仿宋_GB2312" w:hAnsi="仿宋_GB2312" w:eastAsia="仿宋_GB2312" w:cs="仿宋_GB2312"/>
        </w:rPr>
      </w:pPr>
      <w:r>
        <w:rPr>
          <w:rFonts w:hint="eastAsia" w:ascii="仿宋_GB2312" w:hAnsi="仿宋_GB2312" w:eastAsia="仿宋_GB2312" w:cs="仿宋_GB2312"/>
        </w:rPr>
        <w:t>被考核单位：                        考核年度：           考核时间：</w:t>
      </w:r>
    </w:p>
    <w:tbl>
      <w:tblPr>
        <w:tblStyle w:val="31"/>
        <w:tblpPr w:leftFromText="180" w:rightFromText="180" w:vertAnchor="text" w:horzAnchor="page" w:tblpX="1479" w:tblpY="163"/>
        <w:tblOverlap w:val="never"/>
        <w:tblW w:w="9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5149"/>
        <w:gridCol w:w="894"/>
        <w:gridCol w:w="1996"/>
      </w:tblGrid>
      <w:tr w14:paraId="186FA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480" w:type="dxa"/>
            <w:vAlign w:val="center"/>
          </w:tcPr>
          <w:p w14:paraId="42D0B889">
            <w:pPr>
              <w:spacing w:line="400" w:lineRule="exact"/>
              <w:jc w:val="center"/>
              <w:rPr>
                <w:rFonts w:ascii="宋体" w:hAnsi="宋体"/>
                <w:b/>
                <w:bCs/>
                <w:szCs w:val="21"/>
              </w:rPr>
            </w:pPr>
            <w:r>
              <w:rPr>
                <w:rFonts w:hint="eastAsia" w:ascii="宋体" w:hAnsi="宋体"/>
                <w:b/>
                <w:bCs/>
                <w:szCs w:val="21"/>
              </w:rPr>
              <w:t>考核项目</w:t>
            </w:r>
          </w:p>
        </w:tc>
        <w:tc>
          <w:tcPr>
            <w:tcW w:w="5149" w:type="dxa"/>
            <w:vAlign w:val="center"/>
          </w:tcPr>
          <w:p w14:paraId="3FE05A68">
            <w:pPr>
              <w:spacing w:line="400" w:lineRule="exact"/>
              <w:jc w:val="center"/>
              <w:rPr>
                <w:rFonts w:ascii="宋体" w:hAnsi="宋体"/>
                <w:b/>
                <w:bCs/>
                <w:szCs w:val="21"/>
              </w:rPr>
            </w:pPr>
            <w:r>
              <w:rPr>
                <w:rFonts w:hint="eastAsia" w:ascii="宋体" w:hAnsi="宋体"/>
                <w:b/>
                <w:bCs/>
                <w:szCs w:val="21"/>
              </w:rPr>
              <w:t>评分标准</w:t>
            </w:r>
          </w:p>
        </w:tc>
        <w:tc>
          <w:tcPr>
            <w:tcW w:w="894" w:type="dxa"/>
            <w:vAlign w:val="center"/>
          </w:tcPr>
          <w:p w14:paraId="61B681A0">
            <w:pPr>
              <w:spacing w:line="400" w:lineRule="exact"/>
              <w:jc w:val="center"/>
              <w:rPr>
                <w:rFonts w:ascii="宋体" w:hAnsi="宋体"/>
                <w:b/>
                <w:bCs/>
                <w:szCs w:val="21"/>
              </w:rPr>
            </w:pPr>
            <w:r>
              <w:rPr>
                <w:rFonts w:hint="eastAsia" w:ascii="宋体" w:hAnsi="宋体"/>
                <w:b/>
                <w:bCs/>
                <w:szCs w:val="21"/>
              </w:rPr>
              <w:t>考评分</w:t>
            </w:r>
          </w:p>
        </w:tc>
        <w:tc>
          <w:tcPr>
            <w:tcW w:w="1996" w:type="dxa"/>
            <w:vAlign w:val="center"/>
          </w:tcPr>
          <w:p w14:paraId="309F09D9">
            <w:pPr>
              <w:spacing w:line="400" w:lineRule="exact"/>
              <w:jc w:val="center"/>
              <w:rPr>
                <w:rFonts w:ascii="宋体" w:hAnsi="宋体"/>
                <w:b/>
                <w:bCs/>
                <w:szCs w:val="21"/>
              </w:rPr>
            </w:pPr>
            <w:r>
              <w:rPr>
                <w:rFonts w:hint="eastAsia" w:ascii="宋体" w:hAnsi="宋体"/>
                <w:b/>
                <w:bCs/>
                <w:szCs w:val="21"/>
              </w:rPr>
              <w:t>扣分原因说明</w:t>
            </w:r>
          </w:p>
        </w:tc>
      </w:tr>
      <w:tr w14:paraId="73142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480" w:type="dxa"/>
            <w:vMerge w:val="restart"/>
            <w:vAlign w:val="center"/>
          </w:tcPr>
          <w:p w14:paraId="528F8F80">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1.企业内控管理</w:t>
            </w:r>
          </w:p>
          <w:p w14:paraId="69687288">
            <w:pPr>
              <w:pStyle w:val="205"/>
              <w:ind w:firstLine="210" w:firstLineChars="100"/>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（15分）</w:t>
            </w:r>
          </w:p>
        </w:tc>
        <w:tc>
          <w:tcPr>
            <w:tcW w:w="5149" w:type="dxa"/>
            <w:vAlign w:val="center"/>
          </w:tcPr>
          <w:p w14:paraId="10407215">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无完善的安全管理制度扣2分，每年无道路安全事故应急演练扣2分/次。（4分）</w:t>
            </w:r>
          </w:p>
        </w:tc>
        <w:tc>
          <w:tcPr>
            <w:tcW w:w="894" w:type="dxa"/>
            <w:vAlign w:val="center"/>
          </w:tcPr>
          <w:p w14:paraId="0DCC2BBF">
            <w:pPr>
              <w:spacing w:line="400" w:lineRule="exact"/>
              <w:jc w:val="center"/>
              <w:rPr>
                <w:rFonts w:hint="eastAsia" w:ascii="仿宋_GB2312" w:hAnsi="仿宋_GB2312" w:eastAsia="仿宋_GB2312" w:cs="仿宋_GB2312"/>
                <w:szCs w:val="21"/>
              </w:rPr>
            </w:pPr>
          </w:p>
        </w:tc>
        <w:tc>
          <w:tcPr>
            <w:tcW w:w="1996" w:type="dxa"/>
            <w:vAlign w:val="center"/>
          </w:tcPr>
          <w:p w14:paraId="44592A77">
            <w:pPr>
              <w:spacing w:line="400" w:lineRule="exact"/>
              <w:jc w:val="center"/>
              <w:rPr>
                <w:rFonts w:hint="eastAsia" w:ascii="仿宋_GB2312" w:hAnsi="仿宋_GB2312" w:eastAsia="仿宋_GB2312" w:cs="仿宋_GB2312"/>
                <w:szCs w:val="21"/>
              </w:rPr>
            </w:pPr>
          </w:p>
        </w:tc>
      </w:tr>
      <w:tr w14:paraId="6E221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480" w:type="dxa"/>
            <w:vMerge w:val="continue"/>
            <w:vAlign w:val="center"/>
          </w:tcPr>
          <w:p w14:paraId="0F3701EE">
            <w:pPr>
              <w:spacing w:line="400" w:lineRule="exact"/>
              <w:jc w:val="center"/>
              <w:rPr>
                <w:rFonts w:hint="eastAsia" w:ascii="仿宋_GB2312" w:hAnsi="仿宋_GB2312" w:eastAsia="仿宋_GB2312" w:cs="仿宋_GB2312"/>
                <w:szCs w:val="21"/>
              </w:rPr>
            </w:pPr>
          </w:p>
        </w:tc>
        <w:tc>
          <w:tcPr>
            <w:tcW w:w="5149" w:type="dxa"/>
            <w:vAlign w:val="center"/>
          </w:tcPr>
          <w:p w14:paraId="01305DFE">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在运输服务期内，未及时延续《道路运输经营许可证》，检查发现出现断档期的扣3分，如已延续未及时向我司报备替换的扣2分。（5分）</w:t>
            </w:r>
          </w:p>
        </w:tc>
        <w:tc>
          <w:tcPr>
            <w:tcW w:w="894" w:type="dxa"/>
            <w:vAlign w:val="center"/>
          </w:tcPr>
          <w:p w14:paraId="18F32948">
            <w:pPr>
              <w:spacing w:line="400" w:lineRule="exact"/>
              <w:jc w:val="center"/>
              <w:rPr>
                <w:rFonts w:hint="eastAsia" w:ascii="仿宋_GB2312" w:hAnsi="仿宋_GB2312" w:eastAsia="仿宋_GB2312" w:cs="仿宋_GB2312"/>
                <w:szCs w:val="21"/>
              </w:rPr>
            </w:pPr>
          </w:p>
        </w:tc>
        <w:tc>
          <w:tcPr>
            <w:tcW w:w="1996" w:type="dxa"/>
            <w:vAlign w:val="center"/>
          </w:tcPr>
          <w:p w14:paraId="19F2FED6">
            <w:pPr>
              <w:spacing w:line="400" w:lineRule="exact"/>
              <w:jc w:val="center"/>
              <w:rPr>
                <w:rFonts w:hint="eastAsia" w:ascii="仿宋_GB2312" w:hAnsi="仿宋_GB2312" w:eastAsia="仿宋_GB2312" w:cs="仿宋_GB2312"/>
                <w:szCs w:val="21"/>
              </w:rPr>
            </w:pPr>
          </w:p>
        </w:tc>
      </w:tr>
      <w:tr w14:paraId="5AC0F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480" w:type="dxa"/>
            <w:vMerge w:val="continue"/>
            <w:vAlign w:val="center"/>
          </w:tcPr>
          <w:p w14:paraId="787B66A5">
            <w:pPr>
              <w:spacing w:line="400" w:lineRule="exact"/>
              <w:jc w:val="center"/>
              <w:rPr>
                <w:rFonts w:hint="eastAsia" w:ascii="仿宋_GB2312" w:hAnsi="仿宋_GB2312" w:eastAsia="仿宋_GB2312" w:cs="仿宋_GB2312"/>
                <w:szCs w:val="21"/>
              </w:rPr>
            </w:pPr>
          </w:p>
        </w:tc>
        <w:tc>
          <w:tcPr>
            <w:tcW w:w="5149" w:type="dxa"/>
            <w:vAlign w:val="center"/>
          </w:tcPr>
          <w:p w14:paraId="3BBB3A7B">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持证上岗，确保驾驶员、押运人员具备相应的作业资质，否则扣2分/次。（2分）</w:t>
            </w:r>
          </w:p>
        </w:tc>
        <w:tc>
          <w:tcPr>
            <w:tcW w:w="894" w:type="dxa"/>
            <w:vAlign w:val="center"/>
          </w:tcPr>
          <w:p w14:paraId="0551C5CD">
            <w:pPr>
              <w:spacing w:line="400" w:lineRule="exact"/>
              <w:jc w:val="center"/>
              <w:rPr>
                <w:rFonts w:hint="eastAsia" w:ascii="仿宋_GB2312" w:hAnsi="仿宋_GB2312" w:eastAsia="仿宋_GB2312" w:cs="仿宋_GB2312"/>
                <w:szCs w:val="21"/>
              </w:rPr>
            </w:pPr>
          </w:p>
        </w:tc>
        <w:tc>
          <w:tcPr>
            <w:tcW w:w="1996" w:type="dxa"/>
            <w:vAlign w:val="center"/>
          </w:tcPr>
          <w:p w14:paraId="00E19E19">
            <w:pPr>
              <w:spacing w:line="400" w:lineRule="exact"/>
              <w:jc w:val="center"/>
              <w:rPr>
                <w:rFonts w:hint="eastAsia" w:ascii="仿宋_GB2312" w:hAnsi="仿宋_GB2312" w:eastAsia="仿宋_GB2312" w:cs="仿宋_GB2312"/>
                <w:szCs w:val="21"/>
              </w:rPr>
            </w:pPr>
          </w:p>
        </w:tc>
      </w:tr>
      <w:tr w14:paraId="44FBF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480" w:type="dxa"/>
            <w:vMerge w:val="continue"/>
            <w:vAlign w:val="center"/>
          </w:tcPr>
          <w:p w14:paraId="64A27AF1">
            <w:pPr>
              <w:spacing w:line="400" w:lineRule="exact"/>
              <w:jc w:val="center"/>
              <w:rPr>
                <w:rFonts w:hint="eastAsia" w:ascii="仿宋_GB2312" w:hAnsi="仿宋_GB2312" w:eastAsia="仿宋_GB2312" w:cs="仿宋_GB2312"/>
                <w:szCs w:val="21"/>
              </w:rPr>
            </w:pPr>
          </w:p>
        </w:tc>
        <w:tc>
          <w:tcPr>
            <w:tcW w:w="5149" w:type="dxa"/>
            <w:vAlign w:val="center"/>
          </w:tcPr>
          <w:p w14:paraId="243ACBDF">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车辆未按时年检扣1分/车、保险未按要求投保扣1分/车</w:t>
            </w:r>
          </w:p>
        </w:tc>
        <w:tc>
          <w:tcPr>
            <w:tcW w:w="894" w:type="dxa"/>
            <w:vAlign w:val="center"/>
          </w:tcPr>
          <w:p w14:paraId="0DFA728D">
            <w:pPr>
              <w:spacing w:line="400" w:lineRule="exact"/>
              <w:jc w:val="center"/>
              <w:rPr>
                <w:rFonts w:hint="eastAsia" w:ascii="仿宋_GB2312" w:hAnsi="仿宋_GB2312" w:eastAsia="仿宋_GB2312" w:cs="仿宋_GB2312"/>
                <w:szCs w:val="21"/>
              </w:rPr>
            </w:pPr>
          </w:p>
        </w:tc>
        <w:tc>
          <w:tcPr>
            <w:tcW w:w="1996" w:type="dxa"/>
            <w:vAlign w:val="center"/>
          </w:tcPr>
          <w:p w14:paraId="50813D20">
            <w:pPr>
              <w:spacing w:line="400" w:lineRule="exact"/>
              <w:jc w:val="center"/>
              <w:rPr>
                <w:rFonts w:hint="eastAsia" w:ascii="仿宋_GB2312" w:hAnsi="仿宋_GB2312" w:eastAsia="仿宋_GB2312" w:cs="仿宋_GB2312"/>
                <w:szCs w:val="21"/>
              </w:rPr>
            </w:pPr>
          </w:p>
        </w:tc>
      </w:tr>
      <w:tr w14:paraId="55CD1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trPr>
        <w:tc>
          <w:tcPr>
            <w:tcW w:w="1480" w:type="dxa"/>
            <w:vMerge w:val="restart"/>
            <w:vAlign w:val="center"/>
          </w:tcPr>
          <w:p w14:paraId="4A353E19">
            <w:p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2.日常管理（50分）</w:t>
            </w:r>
          </w:p>
        </w:tc>
        <w:tc>
          <w:tcPr>
            <w:tcW w:w="5149" w:type="dxa"/>
            <w:vAlign w:val="center"/>
          </w:tcPr>
          <w:p w14:paraId="06B9FEAB">
            <w:pPr>
              <w:spacing w:line="40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积极配合我方转运需求，能在约定时间内完成运输任务。1．在提前3天通知运输需求的，未响应1次扣2分。提前2天通知运输需求的，未响应1次扣1分。提前1天的，未响应2次扣1分。</w:t>
            </w:r>
          </w:p>
        </w:tc>
        <w:tc>
          <w:tcPr>
            <w:tcW w:w="894" w:type="dxa"/>
            <w:vAlign w:val="center"/>
          </w:tcPr>
          <w:p w14:paraId="06623E98">
            <w:pPr>
              <w:spacing w:line="400" w:lineRule="exact"/>
              <w:jc w:val="left"/>
              <w:rPr>
                <w:rFonts w:hint="eastAsia" w:ascii="仿宋_GB2312" w:hAnsi="仿宋_GB2312" w:eastAsia="仿宋_GB2312" w:cs="仿宋_GB2312"/>
                <w:szCs w:val="21"/>
              </w:rPr>
            </w:pPr>
          </w:p>
        </w:tc>
        <w:tc>
          <w:tcPr>
            <w:tcW w:w="1996" w:type="dxa"/>
            <w:vAlign w:val="center"/>
          </w:tcPr>
          <w:p w14:paraId="3C77C498">
            <w:pPr>
              <w:spacing w:line="400" w:lineRule="exact"/>
              <w:jc w:val="center"/>
              <w:rPr>
                <w:rFonts w:hint="eastAsia" w:ascii="仿宋_GB2312" w:hAnsi="仿宋_GB2312" w:eastAsia="仿宋_GB2312" w:cs="仿宋_GB2312"/>
                <w:szCs w:val="21"/>
              </w:rPr>
            </w:pPr>
          </w:p>
        </w:tc>
      </w:tr>
      <w:tr w14:paraId="5B9B5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480" w:type="dxa"/>
            <w:vMerge w:val="continue"/>
            <w:vAlign w:val="center"/>
          </w:tcPr>
          <w:p w14:paraId="376CF910">
            <w:pPr>
              <w:spacing w:line="400" w:lineRule="exact"/>
              <w:jc w:val="center"/>
              <w:rPr>
                <w:rFonts w:hint="eastAsia" w:ascii="仿宋_GB2312" w:hAnsi="仿宋_GB2312" w:eastAsia="仿宋_GB2312" w:cs="仿宋_GB2312"/>
                <w:szCs w:val="21"/>
              </w:rPr>
            </w:pPr>
          </w:p>
        </w:tc>
        <w:tc>
          <w:tcPr>
            <w:tcW w:w="5149" w:type="dxa"/>
            <w:vAlign w:val="center"/>
          </w:tcPr>
          <w:p w14:paraId="3E7DD137">
            <w:pPr>
              <w:spacing w:line="40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按约定时间，准时到达产废单位。发生运输延误（不可抗力除外）的扣2分/次；情节严重的扣3分/次。</w:t>
            </w:r>
          </w:p>
        </w:tc>
        <w:tc>
          <w:tcPr>
            <w:tcW w:w="894" w:type="dxa"/>
            <w:vAlign w:val="center"/>
          </w:tcPr>
          <w:p w14:paraId="299D6A02">
            <w:pPr>
              <w:spacing w:line="400" w:lineRule="exact"/>
              <w:jc w:val="left"/>
              <w:rPr>
                <w:rFonts w:hint="eastAsia" w:ascii="仿宋_GB2312" w:hAnsi="仿宋_GB2312" w:eastAsia="仿宋_GB2312" w:cs="仿宋_GB2312"/>
                <w:szCs w:val="21"/>
              </w:rPr>
            </w:pPr>
          </w:p>
        </w:tc>
        <w:tc>
          <w:tcPr>
            <w:tcW w:w="1996" w:type="dxa"/>
            <w:vAlign w:val="center"/>
          </w:tcPr>
          <w:p w14:paraId="400E1595">
            <w:pPr>
              <w:spacing w:line="400" w:lineRule="exact"/>
              <w:jc w:val="center"/>
              <w:rPr>
                <w:rFonts w:hint="eastAsia" w:ascii="仿宋_GB2312" w:hAnsi="仿宋_GB2312" w:eastAsia="仿宋_GB2312" w:cs="仿宋_GB2312"/>
                <w:szCs w:val="21"/>
              </w:rPr>
            </w:pPr>
          </w:p>
        </w:tc>
      </w:tr>
      <w:tr w14:paraId="4B5CB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1480" w:type="dxa"/>
            <w:vMerge w:val="continue"/>
            <w:vAlign w:val="center"/>
          </w:tcPr>
          <w:p w14:paraId="41CF65C1">
            <w:pPr>
              <w:spacing w:line="400" w:lineRule="exact"/>
              <w:jc w:val="center"/>
              <w:rPr>
                <w:rFonts w:hint="eastAsia" w:ascii="仿宋_GB2312" w:hAnsi="仿宋_GB2312" w:eastAsia="仿宋_GB2312" w:cs="仿宋_GB2312"/>
                <w:szCs w:val="21"/>
              </w:rPr>
            </w:pPr>
          </w:p>
        </w:tc>
        <w:tc>
          <w:tcPr>
            <w:tcW w:w="5149" w:type="dxa"/>
            <w:vAlign w:val="center"/>
          </w:tcPr>
          <w:p w14:paraId="2B36E89A">
            <w:pPr>
              <w:spacing w:line="40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积极配合装卸车工作。运输单位人员不配合装车、卸车工作，消极怠工的，每发生1次扣2分， </w:t>
            </w:r>
          </w:p>
        </w:tc>
        <w:tc>
          <w:tcPr>
            <w:tcW w:w="894" w:type="dxa"/>
            <w:vAlign w:val="center"/>
          </w:tcPr>
          <w:p w14:paraId="5E545EED">
            <w:pPr>
              <w:spacing w:line="400" w:lineRule="exact"/>
              <w:jc w:val="left"/>
              <w:rPr>
                <w:rFonts w:hint="eastAsia" w:ascii="仿宋_GB2312" w:hAnsi="仿宋_GB2312" w:eastAsia="仿宋_GB2312" w:cs="仿宋_GB2312"/>
                <w:szCs w:val="21"/>
              </w:rPr>
            </w:pPr>
          </w:p>
        </w:tc>
        <w:tc>
          <w:tcPr>
            <w:tcW w:w="1996" w:type="dxa"/>
            <w:vAlign w:val="center"/>
          </w:tcPr>
          <w:p w14:paraId="32F26393">
            <w:pPr>
              <w:spacing w:line="400" w:lineRule="exact"/>
              <w:jc w:val="center"/>
              <w:rPr>
                <w:rFonts w:hint="eastAsia" w:ascii="仿宋_GB2312" w:hAnsi="仿宋_GB2312" w:eastAsia="仿宋_GB2312" w:cs="仿宋_GB2312"/>
                <w:szCs w:val="21"/>
              </w:rPr>
            </w:pPr>
          </w:p>
        </w:tc>
      </w:tr>
      <w:tr w14:paraId="093B3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1480" w:type="dxa"/>
            <w:vMerge w:val="continue"/>
            <w:vAlign w:val="center"/>
          </w:tcPr>
          <w:p w14:paraId="1B57F3CE">
            <w:pPr>
              <w:spacing w:line="400" w:lineRule="exact"/>
              <w:jc w:val="center"/>
              <w:rPr>
                <w:rFonts w:hint="eastAsia" w:ascii="仿宋_GB2312" w:hAnsi="仿宋_GB2312" w:eastAsia="仿宋_GB2312" w:cs="仿宋_GB2312"/>
                <w:szCs w:val="21"/>
              </w:rPr>
            </w:pPr>
          </w:p>
        </w:tc>
        <w:tc>
          <w:tcPr>
            <w:tcW w:w="5149" w:type="dxa"/>
            <w:vAlign w:val="center"/>
          </w:tcPr>
          <w:p w14:paraId="142F70A4">
            <w:pPr>
              <w:spacing w:line="40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做好车上货物的固定保护措施，运输途中要防止滴、漏、撒发生。如发生滴、漏、撒的行为每发生1次扣3分。</w:t>
            </w:r>
          </w:p>
        </w:tc>
        <w:tc>
          <w:tcPr>
            <w:tcW w:w="894" w:type="dxa"/>
            <w:vAlign w:val="center"/>
          </w:tcPr>
          <w:p w14:paraId="5805C4C4">
            <w:pPr>
              <w:spacing w:line="400" w:lineRule="exact"/>
              <w:jc w:val="left"/>
              <w:rPr>
                <w:rFonts w:hint="eastAsia" w:ascii="仿宋_GB2312" w:hAnsi="仿宋_GB2312" w:eastAsia="仿宋_GB2312" w:cs="仿宋_GB2312"/>
                <w:szCs w:val="21"/>
              </w:rPr>
            </w:pPr>
          </w:p>
        </w:tc>
        <w:tc>
          <w:tcPr>
            <w:tcW w:w="1996" w:type="dxa"/>
            <w:vAlign w:val="center"/>
          </w:tcPr>
          <w:p w14:paraId="00C47600">
            <w:pPr>
              <w:spacing w:line="400" w:lineRule="exact"/>
              <w:jc w:val="center"/>
              <w:rPr>
                <w:rFonts w:hint="eastAsia" w:ascii="仿宋_GB2312" w:hAnsi="仿宋_GB2312" w:eastAsia="仿宋_GB2312" w:cs="仿宋_GB2312"/>
                <w:szCs w:val="21"/>
              </w:rPr>
            </w:pPr>
          </w:p>
        </w:tc>
      </w:tr>
      <w:tr w14:paraId="0125A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trPr>
        <w:tc>
          <w:tcPr>
            <w:tcW w:w="1480" w:type="dxa"/>
            <w:vMerge w:val="continue"/>
            <w:vAlign w:val="center"/>
          </w:tcPr>
          <w:p w14:paraId="228F4241">
            <w:pPr>
              <w:spacing w:line="400" w:lineRule="exact"/>
              <w:jc w:val="center"/>
              <w:rPr>
                <w:rFonts w:hint="eastAsia" w:ascii="仿宋_GB2312" w:hAnsi="仿宋_GB2312" w:eastAsia="仿宋_GB2312" w:cs="仿宋_GB2312"/>
                <w:szCs w:val="21"/>
              </w:rPr>
            </w:pPr>
          </w:p>
        </w:tc>
        <w:tc>
          <w:tcPr>
            <w:tcW w:w="5149" w:type="dxa"/>
            <w:vAlign w:val="center"/>
          </w:tcPr>
          <w:p w14:paraId="60D68AC8">
            <w:pPr>
              <w:spacing w:line="40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车辆设施配备要齐全。未悬挂危险废物标识牌1次扣1分，未配备应急处理器材和安全防护设施设备1次扣2 分，车载天线信号传输受阻使车载设备不能稳定工作1次扣2分，未配备覆盖雨布1次扣2分</w:t>
            </w:r>
          </w:p>
        </w:tc>
        <w:tc>
          <w:tcPr>
            <w:tcW w:w="894" w:type="dxa"/>
            <w:vAlign w:val="center"/>
          </w:tcPr>
          <w:p w14:paraId="7FE8079D">
            <w:pPr>
              <w:spacing w:line="400" w:lineRule="exact"/>
              <w:jc w:val="left"/>
              <w:rPr>
                <w:rFonts w:hint="eastAsia" w:ascii="仿宋_GB2312" w:hAnsi="仿宋_GB2312" w:eastAsia="仿宋_GB2312" w:cs="仿宋_GB2312"/>
                <w:szCs w:val="21"/>
              </w:rPr>
            </w:pPr>
          </w:p>
        </w:tc>
        <w:tc>
          <w:tcPr>
            <w:tcW w:w="1996" w:type="dxa"/>
            <w:vAlign w:val="center"/>
          </w:tcPr>
          <w:p w14:paraId="354F2E23">
            <w:pPr>
              <w:spacing w:line="400" w:lineRule="exact"/>
              <w:jc w:val="center"/>
              <w:rPr>
                <w:rFonts w:hint="eastAsia" w:ascii="仿宋_GB2312" w:hAnsi="仿宋_GB2312" w:eastAsia="仿宋_GB2312" w:cs="仿宋_GB2312"/>
                <w:szCs w:val="21"/>
              </w:rPr>
            </w:pPr>
          </w:p>
        </w:tc>
      </w:tr>
      <w:tr w14:paraId="5C37C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1480" w:type="dxa"/>
            <w:vMerge w:val="restart"/>
            <w:vAlign w:val="center"/>
          </w:tcPr>
          <w:p w14:paraId="4498A50D">
            <w:p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3.服务态度(15分)</w:t>
            </w:r>
          </w:p>
        </w:tc>
        <w:tc>
          <w:tcPr>
            <w:tcW w:w="5149" w:type="dxa"/>
            <w:vAlign w:val="center"/>
          </w:tcPr>
          <w:p w14:paraId="1FC5F0ED">
            <w:pPr>
              <w:spacing w:line="40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运输车辆及人员遵守产废单位有关规定，热情服务。不听产废企业合理要求，被产废单位投诉扣2分/次，情节严重的扣5分/次。</w:t>
            </w:r>
          </w:p>
        </w:tc>
        <w:tc>
          <w:tcPr>
            <w:tcW w:w="894" w:type="dxa"/>
            <w:vAlign w:val="center"/>
          </w:tcPr>
          <w:p w14:paraId="7B635752">
            <w:pPr>
              <w:spacing w:line="400" w:lineRule="exact"/>
              <w:jc w:val="left"/>
              <w:rPr>
                <w:rFonts w:hint="eastAsia" w:ascii="仿宋_GB2312" w:hAnsi="仿宋_GB2312" w:eastAsia="仿宋_GB2312" w:cs="仿宋_GB2312"/>
                <w:szCs w:val="21"/>
              </w:rPr>
            </w:pPr>
          </w:p>
        </w:tc>
        <w:tc>
          <w:tcPr>
            <w:tcW w:w="1996" w:type="dxa"/>
            <w:vAlign w:val="center"/>
          </w:tcPr>
          <w:p w14:paraId="57FDA948">
            <w:pPr>
              <w:spacing w:line="400" w:lineRule="exact"/>
              <w:jc w:val="center"/>
              <w:rPr>
                <w:rFonts w:hint="eastAsia" w:ascii="仿宋_GB2312" w:hAnsi="仿宋_GB2312" w:eastAsia="仿宋_GB2312" w:cs="仿宋_GB2312"/>
                <w:szCs w:val="21"/>
              </w:rPr>
            </w:pPr>
          </w:p>
        </w:tc>
      </w:tr>
      <w:tr w14:paraId="2E3B0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480" w:type="dxa"/>
            <w:vMerge w:val="continue"/>
            <w:vAlign w:val="center"/>
          </w:tcPr>
          <w:p w14:paraId="1C758DE3">
            <w:pPr>
              <w:spacing w:line="400" w:lineRule="exact"/>
              <w:rPr>
                <w:rFonts w:hint="eastAsia" w:ascii="仿宋_GB2312" w:hAnsi="仿宋_GB2312" w:eastAsia="仿宋_GB2312" w:cs="仿宋_GB2312"/>
                <w:szCs w:val="21"/>
              </w:rPr>
            </w:pPr>
          </w:p>
        </w:tc>
        <w:tc>
          <w:tcPr>
            <w:tcW w:w="5149" w:type="dxa"/>
            <w:vAlign w:val="center"/>
          </w:tcPr>
          <w:p w14:paraId="2B6587CA">
            <w:pPr>
              <w:spacing w:line="40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在处置单位卸车时，不服从安排、推诿扯皮、消极怠工的，扣2分/次</w:t>
            </w:r>
          </w:p>
        </w:tc>
        <w:tc>
          <w:tcPr>
            <w:tcW w:w="894" w:type="dxa"/>
            <w:vAlign w:val="center"/>
          </w:tcPr>
          <w:p w14:paraId="3CDB2454">
            <w:pPr>
              <w:spacing w:line="400" w:lineRule="exact"/>
              <w:jc w:val="left"/>
              <w:rPr>
                <w:rFonts w:hint="eastAsia" w:ascii="仿宋_GB2312" w:hAnsi="仿宋_GB2312" w:eastAsia="仿宋_GB2312" w:cs="仿宋_GB2312"/>
                <w:szCs w:val="21"/>
              </w:rPr>
            </w:pPr>
          </w:p>
        </w:tc>
        <w:tc>
          <w:tcPr>
            <w:tcW w:w="1996" w:type="dxa"/>
            <w:vAlign w:val="center"/>
          </w:tcPr>
          <w:p w14:paraId="6B8A7E67">
            <w:pPr>
              <w:spacing w:line="400" w:lineRule="exact"/>
              <w:jc w:val="center"/>
              <w:rPr>
                <w:rFonts w:hint="eastAsia" w:ascii="仿宋_GB2312" w:hAnsi="仿宋_GB2312" w:eastAsia="仿宋_GB2312" w:cs="仿宋_GB2312"/>
                <w:szCs w:val="21"/>
              </w:rPr>
            </w:pPr>
          </w:p>
        </w:tc>
      </w:tr>
      <w:tr w14:paraId="4B229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480" w:type="dxa"/>
            <w:vAlign w:val="center"/>
          </w:tcPr>
          <w:p w14:paraId="42D02972">
            <w:p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4.报价/投标积极性（5分）</w:t>
            </w:r>
          </w:p>
        </w:tc>
        <w:tc>
          <w:tcPr>
            <w:tcW w:w="5149" w:type="dxa"/>
            <w:vAlign w:val="center"/>
          </w:tcPr>
          <w:p w14:paraId="75B61470">
            <w:pPr>
              <w:spacing w:line="40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积极参与我方报价。无正当理由，每拒绝1次扣1分</w:t>
            </w:r>
          </w:p>
        </w:tc>
        <w:tc>
          <w:tcPr>
            <w:tcW w:w="894" w:type="dxa"/>
            <w:vAlign w:val="center"/>
          </w:tcPr>
          <w:p w14:paraId="1246C099">
            <w:pPr>
              <w:spacing w:line="400" w:lineRule="exact"/>
              <w:jc w:val="left"/>
              <w:rPr>
                <w:rFonts w:hint="eastAsia" w:ascii="仿宋_GB2312" w:hAnsi="仿宋_GB2312" w:eastAsia="仿宋_GB2312" w:cs="仿宋_GB2312"/>
                <w:szCs w:val="21"/>
              </w:rPr>
            </w:pPr>
          </w:p>
        </w:tc>
        <w:tc>
          <w:tcPr>
            <w:tcW w:w="1996" w:type="dxa"/>
            <w:vAlign w:val="center"/>
          </w:tcPr>
          <w:p w14:paraId="5CBD5B3D">
            <w:pPr>
              <w:spacing w:line="400" w:lineRule="exact"/>
              <w:jc w:val="center"/>
              <w:rPr>
                <w:rFonts w:hint="eastAsia" w:ascii="仿宋_GB2312" w:hAnsi="仿宋_GB2312" w:eastAsia="仿宋_GB2312" w:cs="仿宋_GB2312"/>
                <w:szCs w:val="21"/>
              </w:rPr>
            </w:pPr>
          </w:p>
        </w:tc>
      </w:tr>
      <w:tr w14:paraId="3E591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480" w:type="dxa"/>
            <w:vAlign w:val="center"/>
          </w:tcPr>
          <w:p w14:paraId="0A3D9CF2">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5.安全考核（15分）</w:t>
            </w:r>
          </w:p>
        </w:tc>
        <w:tc>
          <w:tcPr>
            <w:tcW w:w="5149" w:type="dxa"/>
            <w:vAlign w:val="center"/>
          </w:tcPr>
          <w:p w14:paraId="2D18018C">
            <w:pPr>
              <w:spacing w:line="400" w:lineRule="exact"/>
              <w:jc w:val="left"/>
              <w:rPr>
                <w:rFonts w:hint="eastAsia" w:ascii="仿宋_GB2312" w:hAnsi="仿宋_GB2312" w:eastAsia="仿宋_GB2312" w:cs="仿宋_GB2312"/>
                <w:b/>
                <w:szCs w:val="21"/>
                <w:u w:val="single"/>
              </w:rPr>
            </w:pPr>
            <w:r>
              <w:rPr>
                <w:rFonts w:hint="eastAsia" w:ascii="仿宋_GB2312" w:hAnsi="仿宋_GB2312" w:eastAsia="仿宋_GB2312" w:cs="仿宋_GB2312"/>
                <w:szCs w:val="21"/>
              </w:rPr>
              <w:t>转运期间不发生安全事故。为主要事故责任人的，每发生一起扣5分</w:t>
            </w:r>
          </w:p>
        </w:tc>
        <w:tc>
          <w:tcPr>
            <w:tcW w:w="894" w:type="dxa"/>
            <w:vAlign w:val="center"/>
          </w:tcPr>
          <w:p w14:paraId="51AC2269">
            <w:pPr>
              <w:spacing w:line="400" w:lineRule="exact"/>
              <w:jc w:val="left"/>
              <w:rPr>
                <w:rFonts w:hint="eastAsia" w:ascii="仿宋_GB2312" w:hAnsi="仿宋_GB2312" w:eastAsia="仿宋_GB2312" w:cs="仿宋_GB2312"/>
                <w:szCs w:val="21"/>
              </w:rPr>
            </w:pPr>
          </w:p>
        </w:tc>
        <w:tc>
          <w:tcPr>
            <w:tcW w:w="1996" w:type="dxa"/>
            <w:vAlign w:val="center"/>
          </w:tcPr>
          <w:p w14:paraId="56F30BF4">
            <w:pPr>
              <w:spacing w:line="400" w:lineRule="exact"/>
              <w:jc w:val="center"/>
              <w:rPr>
                <w:rFonts w:hint="eastAsia" w:ascii="仿宋_GB2312" w:hAnsi="仿宋_GB2312" w:eastAsia="仿宋_GB2312" w:cs="仿宋_GB2312"/>
                <w:szCs w:val="21"/>
              </w:rPr>
            </w:pPr>
          </w:p>
        </w:tc>
      </w:tr>
      <w:tr w14:paraId="58BF7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6629" w:type="dxa"/>
            <w:gridSpan w:val="2"/>
            <w:vAlign w:val="center"/>
          </w:tcPr>
          <w:p w14:paraId="3E46CAC1">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总得分  (满分100分)</w:t>
            </w:r>
          </w:p>
        </w:tc>
        <w:tc>
          <w:tcPr>
            <w:tcW w:w="894" w:type="dxa"/>
            <w:vAlign w:val="center"/>
          </w:tcPr>
          <w:p w14:paraId="719FBF54">
            <w:pPr>
              <w:spacing w:line="400" w:lineRule="exact"/>
              <w:jc w:val="left"/>
              <w:rPr>
                <w:rFonts w:hint="eastAsia" w:ascii="仿宋_GB2312" w:hAnsi="仿宋_GB2312" w:eastAsia="仿宋_GB2312" w:cs="仿宋_GB2312"/>
                <w:szCs w:val="21"/>
              </w:rPr>
            </w:pPr>
          </w:p>
        </w:tc>
        <w:tc>
          <w:tcPr>
            <w:tcW w:w="1996" w:type="dxa"/>
            <w:vAlign w:val="center"/>
          </w:tcPr>
          <w:p w14:paraId="1B16B6F6">
            <w:pPr>
              <w:spacing w:line="400" w:lineRule="exact"/>
              <w:jc w:val="center"/>
              <w:rPr>
                <w:rFonts w:hint="eastAsia" w:ascii="仿宋_GB2312" w:hAnsi="仿宋_GB2312" w:eastAsia="仿宋_GB2312" w:cs="仿宋_GB2312"/>
                <w:szCs w:val="21"/>
              </w:rPr>
            </w:pPr>
          </w:p>
        </w:tc>
      </w:tr>
      <w:tr w14:paraId="76BE3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6629" w:type="dxa"/>
            <w:gridSpan w:val="2"/>
            <w:vAlign w:val="center"/>
          </w:tcPr>
          <w:p w14:paraId="23D3B75E">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考核评级</w:t>
            </w:r>
          </w:p>
        </w:tc>
        <w:tc>
          <w:tcPr>
            <w:tcW w:w="2890" w:type="dxa"/>
            <w:gridSpan w:val="2"/>
            <w:vAlign w:val="center"/>
          </w:tcPr>
          <w:p w14:paraId="152A40D6">
            <w:pPr>
              <w:spacing w:line="400" w:lineRule="exact"/>
              <w:jc w:val="center"/>
              <w:rPr>
                <w:rFonts w:hint="eastAsia" w:ascii="仿宋_GB2312" w:hAnsi="仿宋_GB2312" w:eastAsia="仿宋_GB2312" w:cs="仿宋_GB2312"/>
                <w:szCs w:val="21"/>
              </w:rPr>
            </w:pPr>
          </w:p>
        </w:tc>
      </w:tr>
    </w:tbl>
    <w:p w14:paraId="491E24FB">
      <w:pPr>
        <w:pStyle w:val="19"/>
        <w:spacing w:line="40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考核人：                                                    审核人：</w:t>
      </w:r>
    </w:p>
    <w:p w14:paraId="6C104B98">
      <w:pPr>
        <w:pStyle w:val="19"/>
        <w:spacing w:line="400" w:lineRule="exact"/>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注：</w:t>
      </w:r>
    </w:p>
    <w:p w14:paraId="5A4B44A4">
      <w:pPr>
        <w:spacing w:line="360" w:lineRule="auto"/>
        <w:ind w:firstLine="308" w:firstLineChars="147"/>
        <w:rPr>
          <w:rFonts w:hint="eastAsia" w:ascii="仿宋_GB2312" w:hAnsi="仿宋_GB2312" w:eastAsia="仿宋_GB2312" w:cs="仿宋_GB2312"/>
          <w:szCs w:val="21"/>
        </w:rPr>
      </w:pPr>
      <w:r>
        <w:rPr>
          <w:rFonts w:hint="eastAsia" w:ascii="仿宋_GB2312" w:hAnsi="仿宋_GB2312" w:eastAsia="仿宋_GB2312" w:cs="仿宋_GB2312"/>
          <w:szCs w:val="21"/>
        </w:rPr>
        <w:t>物流运输供应商如违反以下条款将给予降级或列入黑名单，严重者直接给予撤出物流运输供应商库，具体如下：</w:t>
      </w:r>
    </w:p>
    <w:p w14:paraId="0864F75E">
      <w:pPr>
        <w:spacing w:line="360" w:lineRule="auto"/>
        <w:ind w:firstLine="218" w:firstLineChars="104"/>
        <w:rPr>
          <w:rFonts w:hint="eastAsia" w:ascii="仿宋_GB2312" w:hAnsi="仿宋_GB2312" w:eastAsia="仿宋_GB2312" w:cs="仿宋_GB2312"/>
          <w:szCs w:val="21"/>
        </w:rPr>
      </w:pPr>
      <w:r>
        <w:rPr>
          <w:rFonts w:hint="eastAsia" w:ascii="仿宋_GB2312" w:hAnsi="仿宋_GB2312" w:eastAsia="仿宋_GB2312" w:cs="仿宋_GB2312"/>
          <w:szCs w:val="21"/>
        </w:rPr>
        <w:t>（一）服务期间出现管理混乱、物流设备设施严重不符合要求、财务状况恶化或存在严重潜在风险的；</w:t>
      </w:r>
    </w:p>
    <w:p w14:paraId="01EB3B29">
      <w:pPr>
        <w:spacing w:line="360" w:lineRule="auto"/>
        <w:ind w:firstLine="218" w:firstLineChars="104"/>
        <w:rPr>
          <w:rFonts w:hint="eastAsia" w:ascii="仿宋_GB2312" w:hAnsi="仿宋_GB2312" w:eastAsia="仿宋_GB2312" w:cs="仿宋_GB2312"/>
          <w:szCs w:val="21"/>
        </w:rPr>
      </w:pPr>
      <w:r>
        <w:rPr>
          <w:rFonts w:hint="eastAsia" w:ascii="仿宋_GB2312" w:hAnsi="仿宋_GB2312" w:eastAsia="仿宋_GB2312" w:cs="仿宋_GB2312"/>
          <w:szCs w:val="21"/>
        </w:rPr>
        <w:t>（二）发生运输延误3次（含3次）以上（不可抗力除外）或其他责任事故，造成客户损失或严重影响公司与客户关系的；</w:t>
      </w:r>
    </w:p>
    <w:p w14:paraId="283B7547">
      <w:pPr>
        <w:spacing w:line="360" w:lineRule="auto"/>
        <w:ind w:firstLine="218" w:firstLineChars="104"/>
        <w:rPr>
          <w:rFonts w:hint="eastAsia" w:ascii="仿宋_GB2312" w:hAnsi="仿宋_GB2312" w:eastAsia="仿宋_GB2312" w:cs="仿宋_GB2312"/>
          <w:szCs w:val="21"/>
        </w:rPr>
      </w:pPr>
      <w:r>
        <w:rPr>
          <w:rFonts w:hint="eastAsia" w:ascii="仿宋_GB2312" w:hAnsi="仿宋_GB2312" w:eastAsia="仿宋_GB2312" w:cs="仿宋_GB2312"/>
          <w:szCs w:val="21"/>
        </w:rPr>
        <w:t>（三）不按合同约定提供物流服务或出现物流服务质量问题且经过两次限期整改仍不能解决的；</w:t>
      </w:r>
    </w:p>
    <w:p w14:paraId="6A24A237">
      <w:pPr>
        <w:spacing w:line="360" w:lineRule="auto"/>
        <w:ind w:firstLine="218" w:firstLineChars="104"/>
        <w:rPr>
          <w:rFonts w:hint="eastAsia" w:ascii="仿宋_GB2312" w:hAnsi="仿宋_GB2312" w:eastAsia="仿宋_GB2312" w:cs="仿宋_GB2312"/>
          <w:szCs w:val="21"/>
        </w:rPr>
      </w:pPr>
      <w:r>
        <w:rPr>
          <w:rFonts w:hint="eastAsia" w:ascii="仿宋_GB2312" w:hAnsi="仿宋_GB2312" w:eastAsia="仿宋_GB2312" w:cs="仿宋_GB2312"/>
          <w:szCs w:val="21"/>
        </w:rPr>
        <w:t>（四）发生司机、押运员不服从公司或产废单位相关管理规定的行为，尤其是与产废单位人员发生争吵被投诉的；</w:t>
      </w:r>
    </w:p>
    <w:p w14:paraId="1460D091">
      <w:pPr>
        <w:spacing w:line="360" w:lineRule="auto"/>
        <w:ind w:firstLine="218" w:firstLineChars="104"/>
        <w:rPr>
          <w:rFonts w:hint="eastAsia" w:ascii="仿宋_GB2312" w:hAnsi="仿宋_GB2312" w:eastAsia="仿宋_GB2312" w:cs="仿宋_GB2312"/>
          <w:szCs w:val="21"/>
        </w:rPr>
      </w:pPr>
      <w:r>
        <w:rPr>
          <w:rFonts w:hint="eastAsia" w:ascii="仿宋_GB2312" w:hAnsi="仿宋_GB2312" w:eastAsia="仿宋_GB2312" w:cs="仿宋_GB2312"/>
          <w:szCs w:val="21"/>
        </w:rPr>
        <w:t>（五）发生交通、环境污染等安全事故且被监管部门进行处罚的，直接取消入库资格且列入黑名单1至3年；</w:t>
      </w:r>
    </w:p>
    <w:p w14:paraId="557CE613">
      <w:pPr>
        <w:spacing w:line="360" w:lineRule="auto"/>
        <w:ind w:firstLine="218" w:firstLineChars="104"/>
        <w:rPr>
          <w:rFonts w:hint="eastAsia" w:ascii="仿宋_GB2312" w:hAnsi="仿宋_GB2312" w:eastAsia="仿宋_GB2312" w:cs="仿宋_GB2312"/>
        </w:rPr>
      </w:pPr>
      <w:r>
        <w:rPr>
          <w:rFonts w:hint="eastAsia" w:ascii="仿宋_GB2312" w:hAnsi="仿宋_GB2312" w:eastAsia="仿宋_GB2312" w:cs="仿宋_GB2312"/>
          <w:szCs w:val="21"/>
        </w:rPr>
        <w:t>（六）其他严重影响公司正常生产运营行为的。</w:t>
      </w:r>
    </w:p>
    <w:p w14:paraId="5C987D4D">
      <w:pPr>
        <w:spacing w:line="360" w:lineRule="auto"/>
        <w:ind w:firstLine="218" w:firstLineChars="104"/>
        <w:rPr>
          <w:rFonts w:hint="eastAsia" w:ascii="仿宋_GB2312" w:hAnsi="仿宋_GB2312" w:eastAsia="仿宋_GB2312" w:cs="仿宋_GB2312"/>
          <w:szCs w:val="21"/>
        </w:rPr>
      </w:pPr>
      <w:r>
        <w:rPr>
          <w:rFonts w:hint="eastAsia" w:ascii="仿宋_GB2312" w:hAnsi="仿宋_GB2312" w:eastAsia="仿宋_GB2312" w:cs="仿宋_GB2312"/>
          <w:szCs w:val="21"/>
        </w:rPr>
        <w:t>（七）列入黑名单客户的供应商禁止参与我司物流服务采购项目。</w:t>
      </w:r>
    </w:p>
    <w:p w14:paraId="07B9EB38"/>
    <w:sectPr>
      <w:footerReference r:id="rId7"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金山简黑体">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FD1B1">
    <w:pPr>
      <w:pStyle w:val="23"/>
      <w:rPr>
        <w:rStyle w:val="34"/>
        <w:rFonts w:ascii="Times New Roman" w:hAnsi="Times New Roman"/>
      </w:rPr>
    </w:pPr>
  </w:p>
  <w:p w14:paraId="2608FE75">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3440A">
    <w:pPr>
      <w:pStyle w:val="23"/>
      <w:rPr>
        <w:rStyle w:val="34"/>
        <w:rFonts w:ascii="Times New Roman" w:hAnsi="Times New Roman"/>
      </w:rPr>
    </w:pPr>
  </w:p>
  <w:p w14:paraId="184EA3E4">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8DCD6">
    <w:pPr>
      <w:pStyle w:val="23"/>
    </w:pPr>
    <w:r>
      <w:pict>
        <v:shape id="文本框 4"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42CBC39A">
                <w:pPr>
                  <w:pStyle w:val="23"/>
                </w:pPr>
                <w:r>
                  <w:fldChar w:fldCharType="begin"/>
                </w:r>
                <w:r>
                  <w:instrText xml:space="preserve"> PAGE  \* MERGEFORMAT </w:instrText>
                </w:r>
                <w:r>
                  <w:fldChar w:fldCharType="separate"/>
                </w:r>
                <w:r>
                  <w:rPr>
                    <w:lang w:val="en-US" w:eastAsia="zh-CN"/>
                  </w:rPr>
                  <w:t>2</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B3AF2">
    <w:pPr>
      <w:pStyle w:val="23"/>
      <w:rPr>
        <w:rStyle w:val="34"/>
        <w:rFonts w:ascii="Times New Roman" w:hAnsi="Times New Roman"/>
      </w:rPr>
    </w:pPr>
    <w:r>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41F9F6FB">
                <w:pPr>
                  <w:pStyle w:val="23"/>
                </w:pPr>
                <w:r>
                  <w:fldChar w:fldCharType="begin"/>
                </w:r>
                <w:r>
                  <w:instrText xml:space="preserve"> PAGE  \* MERGEFORMAT </w:instrText>
                </w:r>
                <w:r>
                  <w:fldChar w:fldCharType="separate"/>
                </w:r>
                <w:r>
                  <w:rPr>
                    <w:lang w:val="en-US" w:eastAsia="zh-CN"/>
                  </w:rPr>
                  <w:t>3</w:t>
                </w:r>
                <w:r>
                  <w:fldChar w:fldCharType="end"/>
                </w:r>
              </w:p>
            </w:txbxContent>
          </v:textbox>
        </v:shape>
      </w:pict>
    </w:r>
  </w:p>
  <w:p w14:paraId="53A8DDC7">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C121E">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1F647"/>
    <w:multiLevelType w:val="singleLevel"/>
    <w:tmpl w:val="B6E1F647"/>
    <w:lvl w:ilvl="0" w:tentative="0">
      <w:start w:val="1"/>
      <w:numFmt w:val="decimal"/>
      <w:suff w:val="nothing"/>
      <w:lvlText w:val="%1、"/>
      <w:lvlJc w:val="left"/>
    </w:lvl>
  </w:abstractNum>
  <w:abstractNum w:abstractNumId="1">
    <w:nsid w:val="742D8EBB"/>
    <w:multiLevelType w:val="singleLevel"/>
    <w:tmpl w:val="742D8EB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A0NDBhZmEwYTk3MjNlNmFiZWM5ODdiNjQ0YmJlZTEifQ=="/>
  </w:docVars>
  <w:rsids>
    <w:rsidRoot w:val="00DF53F0"/>
    <w:rsid w:val="000B67CD"/>
    <w:rsid w:val="006F6440"/>
    <w:rsid w:val="007D1298"/>
    <w:rsid w:val="00827F2D"/>
    <w:rsid w:val="00A42D0A"/>
    <w:rsid w:val="00AA4D14"/>
    <w:rsid w:val="00AA558E"/>
    <w:rsid w:val="00C41E6D"/>
    <w:rsid w:val="00DF53F0"/>
    <w:rsid w:val="00FD70E3"/>
    <w:rsid w:val="04571953"/>
    <w:rsid w:val="18983228"/>
    <w:rsid w:val="29763DCD"/>
    <w:rsid w:val="35C35BC8"/>
    <w:rsid w:val="3CA81852"/>
    <w:rsid w:val="6FA739DB"/>
    <w:rsid w:val="713C570C"/>
    <w:rsid w:val="724577B7"/>
    <w:rsid w:val="7C131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uiPriority="39" w:name="toc 3"/>
    <w:lsdException w:uiPriority="39" w:name="toc 4"/>
    <w:lsdException w:qFormat="1"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0" w:semiHidden="0" w:name="HTML Cite"/>
    <w:lsdException w:uiPriority="0" w:semiHidden="0" w:name="HTML Code"/>
    <w:lsdException w:uiPriority="0" w:semiHidden="0" w:name="HTML Definition"/>
    <w:lsdException w:uiPriority="99" w:name="HTML Keyboard"/>
    <w:lsdException w:uiPriority="99" w:name="HTML Preformatted"/>
    <w:lsdException w:uiPriority="99" w:name="HTML Sample"/>
    <w:lsdException w:uiPriority="99" w:name="HTML Typewriter"/>
    <w:lsdException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1"/>
    <w:qFormat/>
    <w:uiPriority w:val="0"/>
    <w:pPr>
      <w:keepNext/>
      <w:keepLines/>
      <w:tabs>
        <w:tab w:val="left" w:pos="360"/>
      </w:tabs>
      <w:adjustRightInd w:val="0"/>
      <w:spacing w:before="120" w:line="360" w:lineRule="auto"/>
      <w:ind w:left="284" w:hanging="284"/>
      <w:textAlignment w:val="baseline"/>
      <w:outlineLvl w:val="0"/>
    </w:pPr>
    <w:rPr>
      <w:b/>
      <w:kern w:val="44"/>
      <w:sz w:val="32"/>
      <w:szCs w:val="20"/>
    </w:rPr>
  </w:style>
  <w:style w:type="paragraph" w:styleId="4">
    <w:name w:val="heading 2"/>
    <w:basedOn w:val="1"/>
    <w:next w:val="1"/>
    <w:link w:val="42"/>
    <w:qFormat/>
    <w:uiPriority w:val="0"/>
    <w:pPr>
      <w:keepNext/>
      <w:tabs>
        <w:tab w:val="left" w:pos="596"/>
        <w:tab w:val="left" w:pos="1021"/>
      </w:tabs>
      <w:adjustRightInd w:val="0"/>
      <w:spacing w:before="120" w:line="360" w:lineRule="auto"/>
      <w:ind w:left="596" w:hanging="596"/>
      <w:textAlignment w:val="baseline"/>
      <w:outlineLvl w:val="1"/>
    </w:pPr>
    <w:rPr>
      <w:rFonts w:eastAsia="黑体"/>
      <w:b/>
      <w:kern w:val="0"/>
      <w:sz w:val="28"/>
      <w:szCs w:val="20"/>
    </w:rPr>
  </w:style>
  <w:style w:type="paragraph" w:styleId="5">
    <w:name w:val="heading 3"/>
    <w:basedOn w:val="1"/>
    <w:next w:val="1"/>
    <w:link w:val="43"/>
    <w:qFormat/>
    <w:uiPriority w:val="0"/>
    <w:pPr>
      <w:tabs>
        <w:tab w:val="left" w:pos="900"/>
        <w:tab w:val="left" w:pos="1588"/>
      </w:tabs>
      <w:adjustRightInd w:val="0"/>
      <w:spacing w:before="120" w:line="360" w:lineRule="auto"/>
      <w:ind w:left="1588" w:hanging="737"/>
      <w:textAlignment w:val="baseline"/>
      <w:outlineLvl w:val="2"/>
    </w:pPr>
    <w:rPr>
      <w:rFonts w:eastAsia="黑体"/>
      <w:b/>
      <w:kern w:val="0"/>
      <w:sz w:val="28"/>
      <w:szCs w:val="20"/>
    </w:rPr>
  </w:style>
  <w:style w:type="paragraph" w:styleId="6">
    <w:name w:val="heading 4"/>
    <w:basedOn w:val="1"/>
    <w:next w:val="1"/>
    <w:link w:val="44"/>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7">
    <w:name w:val="heading 5"/>
    <w:basedOn w:val="1"/>
    <w:next w:val="8"/>
    <w:link w:val="45"/>
    <w:qFormat/>
    <w:uiPriority w:val="0"/>
    <w:pPr>
      <w:keepNext/>
      <w:keepLines/>
      <w:spacing w:before="280" w:after="290" w:line="376" w:lineRule="auto"/>
      <w:outlineLvl w:val="4"/>
    </w:pPr>
    <w:rPr>
      <w:b/>
      <w:sz w:val="28"/>
      <w:szCs w:val="20"/>
    </w:rPr>
  </w:style>
  <w:style w:type="paragraph" w:styleId="9">
    <w:name w:val="heading 6"/>
    <w:basedOn w:val="1"/>
    <w:next w:val="8"/>
    <w:link w:val="46"/>
    <w:qFormat/>
    <w:uiPriority w:val="0"/>
    <w:pPr>
      <w:keepNext/>
      <w:keepLines/>
      <w:spacing w:before="240" w:after="64" w:line="320" w:lineRule="auto"/>
      <w:outlineLvl w:val="5"/>
    </w:pPr>
    <w:rPr>
      <w:rFonts w:ascii="Arial" w:hAnsi="Arial" w:eastAsia="黑体"/>
      <w:b/>
      <w:sz w:val="24"/>
      <w:szCs w:val="20"/>
    </w:rPr>
  </w:style>
  <w:style w:type="paragraph" w:styleId="10">
    <w:name w:val="heading 7"/>
    <w:basedOn w:val="1"/>
    <w:next w:val="8"/>
    <w:link w:val="47"/>
    <w:qFormat/>
    <w:uiPriority w:val="0"/>
    <w:pPr>
      <w:keepNext/>
      <w:keepLines/>
      <w:spacing w:before="240" w:after="64" w:line="320" w:lineRule="auto"/>
      <w:outlineLvl w:val="6"/>
    </w:pPr>
    <w:rPr>
      <w:b/>
      <w:sz w:val="24"/>
      <w:szCs w:val="20"/>
    </w:rPr>
  </w:style>
  <w:style w:type="paragraph" w:styleId="11">
    <w:name w:val="heading 8"/>
    <w:basedOn w:val="1"/>
    <w:next w:val="8"/>
    <w:link w:val="48"/>
    <w:qFormat/>
    <w:uiPriority w:val="0"/>
    <w:pPr>
      <w:keepNext/>
      <w:keepLines/>
      <w:spacing w:before="240" w:after="64" w:line="320" w:lineRule="auto"/>
      <w:outlineLvl w:val="7"/>
    </w:pPr>
    <w:rPr>
      <w:rFonts w:ascii="Arial" w:hAnsi="Arial" w:eastAsia="黑体"/>
      <w:sz w:val="24"/>
      <w:szCs w:val="20"/>
    </w:rPr>
  </w:style>
  <w:style w:type="paragraph" w:styleId="12">
    <w:name w:val="heading 9"/>
    <w:basedOn w:val="1"/>
    <w:next w:val="8"/>
    <w:link w:val="49"/>
    <w:qFormat/>
    <w:uiPriority w:val="0"/>
    <w:pPr>
      <w:keepNext/>
      <w:keepLines/>
      <w:spacing w:before="240" w:after="64" w:line="320" w:lineRule="auto"/>
      <w:outlineLvl w:val="8"/>
    </w:pPr>
    <w:rPr>
      <w:rFonts w:ascii="Arial" w:hAnsi="Arial" w:eastAsia="黑体"/>
      <w:szCs w:val="20"/>
    </w:rPr>
  </w:style>
  <w:style w:type="character" w:default="1" w:styleId="33">
    <w:name w:val="Default Paragraph Font"/>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0"/>
    <w:qFormat/>
    <w:uiPriority w:val="0"/>
    <w:rPr>
      <w:rFonts w:ascii="金山简黑体" w:hAnsi="Courier New" w:eastAsia="金山简黑体"/>
      <w:b/>
      <w:spacing w:val="-8"/>
      <w:sz w:val="44"/>
      <w:szCs w:val="20"/>
    </w:rPr>
  </w:style>
  <w:style w:type="paragraph" w:styleId="8">
    <w:name w:val="Normal Indent"/>
    <w:basedOn w:val="1"/>
    <w:qFormat/>
    <w:uiPriority w:val="0"/>
    <w:pPr>
      <w:widowControl/>
      <w:ind w:firstLine="420"/>
      <w:jc w:val="left"/>
    </w:pPr>
    <w:rPr>
      <w:kern w:val="0"/>
      <w:sz w:val="20"/>
      <w:szCs w:val="20"/>
    </w:rPr>
  </w:style>
  <w:style w:type="paragraph" w:styleId="13">
    <w:name w:val="annotation text"/>
    <w:basedOn w:val="1"/>
    <w:link w:val="51"/>
    <w:unhideWhenUsed/>
    <w:qFormat/>
    <w:uiPriority w:val="0"/>
    <w:pPr>
      <w:jc w:val="left"/>
    </w:pPr>
  </w:style>
  <w:style w:type="paragraph" w:styleId="14">
    <w:name w:val="Body Text 3"/>
    <w:basedOn w:val="1"/>
    <w:link w:val="52"/>
    <w:qFormat/>
    <w:uiPriority w:val="0"/>
    <w:rPr>
      <w:sz w:val="24"/>
    </w:rPr>
  </w:style>
  <w:style w:type="paragraph" w:styleId="15">
    <w:name w:val="Body Text Indent"/>
    <w:basedOn w:val="1"/>
    <w:link w:val="53"/>
    <w:qFormat/>
    <w:uiPriority w:val="0"/>
    <w:pPr>
      <w:spacing w:line="200" w:lineRule="exact"/>
      <w:ind w:firstLine="301"/>
    </w:pPr>
    <w:rPr>
      <w:rFonts w:ascii="宋体" w:hAnsi="Courier New"/>
      <w:spacing w:val="-4"/>
      <w:sz w:val="18"/>
      <w:szCs w:val="20"/>
    </w:rPr>
  </w:style>
  <w:style w:type="paragraph" w:styleId="16">
    <w:name w:val="List 2"/>
    <w:basedOn w:val="1"/>
    <w:qFormat/>
    <w:uiPriority w:val="0"/>
    <w:pPr>
      <w:ind w:left="100" w:leftChars="200" w:hanging="200" w:hangingChars="200"/>
    </w:pPr>
  </w:style>
  <w:style w:type="paragraph" w:styleId="17">
    <w:name w:val="List Continue"/>
    <w:basedOn w:val="1"/>
    <w:qFormat/>
    <w:uiPriority w:val="0"/>
    <w:pPr>
      <w:ind w:left="420" w:leftChars="200"/>
    </w:pPr>
  </w:style>
  <w:style w:type="paragraph" w:styleId="18">
    <w:name w:val="toc 5"/>
    <w:basedOn w:val="1"/>
    <w:next w:val="1"/>
    <w:unhideWhenUsed/>
    <w:qFormat/>
    <w:uiPriority w:val="0"/>
    <w:pPr>
      <w:ind w:left="1680" w:leftChars="800"/>
    </w:pPr>
  </w:style>
  <w:style w:type="paragraph" w:styleId="19">
    <w:name w:val="Plain Text"/>
    <w:basedOn w:val="1"/>
    <w:link w:val="54"/>
    <w:qFormat/>
    <w:uiPriority w:val="0"/>
    <w:rPr>
      <w:rFonts w:ascii="宋体" w:hAnsi="Courier New"/>
      <w:szCs w:val="20"/>
    </w:rPr>
  </w:style>
  <w:style w:type="paragraph" w:styleId="20">
    <w:name w:val="Date"/>
    <w:basedOn w:val="1"/>
    <w:next w:val="1"/>
    <w:link w:val="55"/>
    <w:qFormat/>
    <w:uiPriority w:val="0"/>
    <w:pPr>
      <w:ind w:left="100" w:leftChars="2500"/>
    </w:pPr>
  </w:style>
  <w:style w:type="paragraph" w:styleId="21">
    <w:name w:val="Body Text Indent 2"/>
    <w:basedOn w:val="1"/>
    <w:link w:val="56"/>
    <w:qFormat/>
    <w:uiPriority w:val="0"/>
    <w:pPr>
      <w:spacing w:line="520" w:lineRule="exact"/>
      <w:ind w:firstLine="1112" w:firstLineChars="397"/>
      <w:jc w:val="left"/>
    </w:pPr>
    <w:rPr>
      <w:rFonts w:ascii="宋体" w:hAnsi="宋体"/>
      <w:sz w:val="28"/>
    </w:rPr>
  </w:style>
  <w:style w:type="paragraph" w:styleId="22">
    <w:name w:val="Balloon Text"/>
    <w:basedOn w:val="1"/>
    <w:link w:val="57"/>
    <w:semiHidden/>
    <w:qFormat/>
    <w:uiPriority w:val="0"/>
    <w:rPr>
      <w:sz w:val="18"/>
      <w:szCs w:val="18"/>
    </w:rPr>
  </w:style>
  <w:style w:type="paragraph" w:styleId="23">
    <w:name w:val="footer"/>
    <w:basedOn w:val="1"/>
    <w:link w:val="58"/>
    <w:qFormat/>
    <w:uiPriority w:val="99"/>
    <w:pPr>
      <w:tabs>
        <w:tab w:val="center" w:pos="4153"/>
        <w:tab w:val="right" w:pos="8306"/>
      </w:tabs>
      <w:snapToGrid w:val="0"/>
      <w:jc w:val="left"/>
    </w:pPr>
    <w:rPr>
      <w:rFonts w:ascii="宋体" w:hAnsi="Courier New"/>
      <w:sz w:val="18"/>
      <w:szCs w:val="20"/>
    </w:rPr>
  </w:style>
  <w:style w:type="paragraph" w:styleId="24">
    <w:name w:val="header"/>
    <w:basedOn w:val="1"/>
    <w:link w:val="59"/>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semiHidden/>
    <w:qFormat/>
    <w:uiPriority w:val="0"/>
    <w:pPr>
      <w:tabs>
        <w:tab w:val="right" w:leader="dot" w:pos="9344"/>
      </w:tabs>
      <w:spacing w:before="120" w:after="120" w:line="440" w:lineRule="exact"/>
      <w:jc w:val="left"/>
    </w:pPr>
    <w:rPr>
      <w:rFonts w:eastAsia="仿宋_GB2312"/>
      <w:b/>
      <w:bCs/>
      <w:caps/>
      <w:sz w:val="32"/>
    </w:rPr>
  </w:style>
  <w:style w:type="paragraph" w:styleId="26">
    <w:name w:val="List"/>
    <w:basedOn w:val="1"/>
    <w:next w:val="1"/>
    <w:qFormat/>
    <w:uiPriority w:val="0"/>
    <w:pPr>
      <w:spacing w:line="320" w:lineRule="exact"/>
      <w:jc w:val="center"/>
    </w:pPr>
  </w:style>
  <w:style w:type="paragraph" w:styleId="27">
    <w:name w:val="Body Text Indent 3"/>
    <w:basedOn w:val="1"/>
    <w:link w:val="60"/>
    <w:qFormat/>
    <w:uiPriority w:val="0"/>
    <w:pPr>
      <w:spacing w:line="400" w:lineRule="exact"/>
      <w:ind w:left="360"/>
    </w:pPr>
    <w:rPr>
      <w:sz w:val="24"/>
    </w:rPr>
  </w:style>
  <w:style w:type="paragraph" w:styleId="28">
    <w:name w:val="toc 2"/>
    <w:basedOn w:val="1"/>
    <w:next w:val="1"/>
    <w:semiHidden/>
    <w:qFormat/>
    <w:uiPriority w:val="0"/>
    <w:pPr>
      <w:tabs>
        <w:tab w:val="right" w:leader="dot" w:pos="9004"/>
      </w:tabs>
      <w:ind w:left="420" w:leftChars="200"/>
    </w:pPr>
  </w:style>
  <w:style w:type="paragraph" w:styleId="29">
    <w:name w:val="Body Text 2"/>
    <w:basedOn w:val="1"/>
    <w:link w:val="61"/>
    <w:qFormat/>
    <w:uiPriority w:val="0"/>
    <w:rPr>
      <w:rFonts w:ascii="宋体" w:hAnsi="Courier New"/>
      <w:sz w:val="13"/>
      <w:szCs w:val="20"/>
    </w:rPr>
  </w:style>
  <w:style w:type="paragraph" w:styleId="30">
    <w:name w:val="Normal (Web)"/>
    <w:basedOn w:val="1"/>
    <w:uiPriority w:val="99"/>
    <w:pPr>
      <w:widowControl/>
      <w:spacing w:before="100" w:beforeAutospacing="1" w:after="100" w:afterAutospacing="1"/>
      <w:jc w:val="left"/>
    </w:pPr>
    <w:rPr>
      <w:rFonts w:ascii="宋体" w:hAnsi="宋体"/>
      <w:kern w:val="0"/>
      <w:sz w:val="24"/>
    </w:rPr>
  </w:style>
  <w:style w:type="table" w:styleId="32">
    <w:name w:val="Table Grid"/>
    <w:basedOn w:val="31"/>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page number"/>
    <w:basedOn w:val="33"/>
    <w:uiPriority w:val="0"/>
  </w:style>
  <w:style w:type="character" w:styleId="35">
    <w:name w:val="FollowedHyperlink"/>
    <w:qFormat/>
    <w:uiPriority w:val="0"/>
    <w:rPr>
      <w:color w:val="296FBE"/>
      <w:u w:val="none"/>
    </w:rPr>
  </w:style>
  <w:style w:type="character" w:styleId="36">
    <w:name w:val="HTML Definition"/>
    <w:unhideWhenUsed/>
    <w:uiPriority w:val="0"/>
  </w:style>
  <w:style w:type="character" w:styleId="37">
    <w:name w:val="HTML Variable"/>
    <w:unhideWhenUsed/>
    <w:uiPriority w:val="0"/>
  </w:style>
  <w:style w:type="character" w:styleId="38">
    <w:name w:val="Hyperlink"/>
    <w:qFormat/>
    <w:uiPriority w:val="0"/>
    <w:rPr>
      <w:color w:val="296FBE"/>
      <w:u w:val="none"/>
    </w:rPr>
  </w:style>
  <w:style w:type="character" w:styleId="39">
    <w:name w:val="HTML Code"/>
    <w:unhideWhenUsed/>
    <w:uiPriority w:val="0"/>
    <w:rPr>
      <w:rFonts w:ascii="微软雅黑" w:hAnsi="微软雅黑" w:eastAsia="微软雅黑" w:cs="微软雅黑"/>
      <w:sz w:val="20"/>
    </w:rPr>
  </w:style>
  <w:style w:type="character" w:styleId="40">
    <w:name w:val="HTML Cite"/>
    <w:unhideWhenUsed/>
    <w:uiPriority w:val="0"/>
  </w:style>
  <w:style w:type="character" w:customStyle="1" w:styleId="41">
    <w:name w:val="标题 1 Char"/>
    <w:basedOn w:val="33"/>
    <w:link w:val="3"/>
    <w:uiPriority w:val="0"/>
    <w:rPr>
      <w:rFonts w:ascii="Times New Roman" w:hAnsi="Times New Roman" w:eastAsia="宋体" w:cs="Times New Roman"/>
      <w:b/>
      <w:kern w:val="44"/>
      <w:sz w:val="32"/>
      <w:szCs w:val="20"/>
    </w:rPr>
  </w:style>
  <w:style w:type="character" w:customStyle="1" w:styleId="42">
    <w:name w:val="标题 2 Char"/>
    <w:basedOn w:val="33"/>
    <w:link w:val="4"/>
    <w:uiPriority w:val="0"/>
    <w:rPr>
      <w:rFonts w:ascii="Times New Roman" w:hAnsi="Times New Roman" w:eastAsia="黑体" w:cs="Times New Roman"/>
      <w:b/>
      <w:kern w:val="0"/>
      <w:sz w:val="28"/>
      <w:szCs w:val="20"/>
    </w:rPr>
  </w:style>
  <w:style w:type="character" w:customStyle="1" w:styleId="43">
    <w:name w:val="标题 3 Char"/>
    <w:basedOn w:val="33"/>
    <w:link w:val="5"/>
    <w:uiPriority w:val="0"/>
    <w:rPr>
      <w:rFonts w:ascii="Times New Roman" w:hAnsi="Times New Roman" w:eastAsia="黑体" w:cs="Times New Roman"/>
      <w:b/>
      <w:kern w:val="0"/>
      <w:sz w:val="28"/>
      <w:szCs w:val="20"/>
    </w:rPr>
  </w:style>
  <w:style w:type="character" w:customStyle="1" w:styleId="44">
    <w:name w:val="标题 4 Char"/>
    <w:basedOn w:val="33"/>
    <w:link w:val="6"/>
    <w:uiPriority w:val="0"/>
    <w:rPr>
      <w:rFonts w:ascii="Arial" w:hAnsi="Times New Roman" w:eastAsia="黑体" w:cs="Times New Roman"/>
      <w:kern w:val="0"/>
      <w:sz w:val="28"/>
      <w:szCs w:val="20"/>
    </w:rPr>
  </w:style>
  <w:style w:type="character" w:customStyle="1" w:styleId="45">
    <w:name w:val="标题 5 Char"/>
    <w:basedOn w:val="33"/>
    <w:link w:val="7"/>
    <w:uiPriority w:val="0"/>
    <w:rPr>
      <w:rFonts w:ascii="Times New Roman" w:hAnsi="Times New Roman" w:eastAsia="宋体" w:cs="Times New Roman"/>
      <w:b/>
      <w:sz w:val="28"/>
      <w:szCs w:val="20"/>
    </w:rPr>
  </w:style>
  <w:style w:type="character" w:customStyle="1" w:styleId="46">
    <w:name w:val="标题 6 Char"/>
    <w:basedOn w:val="33"/>
    <w:link w:val="9"/>
    <w:uiPriority w:val="0"/>
    <w:rPr>
      <w:rFonts w:ascii="Arial" w:hAnsi="Arial" w:eastAsia="黑体" w:cs="Times New Roman"/>
      <w:b/>
      <w:sz w:val="24"/>
      <w:szCs w:val="20"/>
    </w:rPr>
  </w:style>
  <w:style w:type="character" w:customStyle="1" w:styleId="47">
    <w:name w:val="标题 7 Char"/>
    <w:basedOn w:val="33"/>
    <w:link w:val="10"/>
    <w:uiPriority w:val="0"/>
    <w:rPr>
      <w:rFonts w:ascii="Times New Roman" w:hAnsi="Times New Roman" w:eastAsia="宋体" w:cs="Times New Roman"/>
      <w:b/>
      <w:sz w:val="24"/>
      <w:szCs w:val="20"/>
    </w:rPr>
  </w:style>
  <w:style w:type="character" w:customStyle="1" w:styleId="48">
    <w:name w:val="标题 8 Char"/>
    <w:basedOn w:val="33"/>
    <w:link w:val="11"/>
    <w:qFormat/>
    <w:uiPriority w:val="0"/>
    <w:rPr>
      <w:rFonts w:ascii="Arial" w:hAnsi="Arial" w:eastAsia="黑体" w:cs="Times New Roman"/>
      <w:sz w:val="24"/>
      <w:szCs w:val="20"/>
    </w:rPr>
  </w:style>
  <w:style w:type="character" w:customStyle="1" w:styleId="49">
    <w:name w:val="标题 9 Char"/>
    <w:basedOn w:val="33"/>
    <w:link w:val="12"/>
    <w:qFormat/>
    <w:uiPriority w:val="0"/>
    <w:rPr>
      <w:rFonts w:ascii="Arial" w:hAnsi="Arial" w:eastAsia="黑体" w:cs="Times New Roman"/>
      <w:szCs w:val="20"/>
    </w:rPr>
  </w:style>
  <w:style w:type="character" w:customStyle="1" w:styleId="50">
    <w:name w:val="正文文本 Char"/>
    <w:basedOn w:val="33"/>
    <w:link w:val="2"/>
    <w:uiPriority w:val="0"/>
    <w:rPr>
      <w:rFonts w:ascii="金山简黑体" w:hAnsi="Courier New" w:eastAsia="金山简黑体" w:cs="Times New Roman"/>
      <w:b/>
      <w:spacing w:val="-8"/>
      <w:sz w:val="44"/>
      <w:szCs w:val="20"/>
    </w:rPr>
  </w:style>
  <w:style w:type="character" w:customStyle="1" w:styleId="51">
    <w:name w:val="批注文字 Char"/>
    <w:basedOn w:val="33"/>
    <w:link w:val="13"/>
    <w:uiPriority w:val="0"/>
    <w:rPr>
      <w:rFonts w:ascii="Times New Roman" w:hAnsi="Times New Roman" w:eastAsia="宋体" w:cs="Times New Roman"/>
      <w:szCs w:val="24"/>
    </w:rPr>
  </w:style>
  <w:style w:type="character" w:customStyle="1" w:styleId="52">
    <w:name w:val="正文文本 3 Char"/>
    <w:basedOn w:val="33"/>
    <w:link w:val="14"/>
    <w:uiPriority w:val="0"/>
    <w:rPr>
      <w:rFonts w:ascii="Times New Roman" w:hAnsi="Times New Roman" w:eastAsia="宋体" w:cs="Times New Roman"/>
      <w:sz w:val="24"/>
      <w:szCs w:val="24"/>
    </w:rPr>
  </w:style>
  <w:style w:type="character" w:customStyle="1" w:styleId="53">
    <w:name w:val="正文文本缩进 Char"/>
    <w:basedOn w:val="33"/>
    <w:link w:val="15"/>
    <w:uiPriority w:val="0"/>
    <w:rPr>
      <w:rFonts w:ascii="宋体" w:hAnsi="Courier New" w:eastAsia="宋体" w:cs="Times New Roman"/>
      <w:spacing w:val="-4"/>
      <w:sz w:val="18"/>
      <w:szCs w:val="20"/>
    </w:rPr>
  </w:style>
  <w:style w:type="character" w:customStyle="1" w:styleId="54">
    <w:name w:val="纯文本 Char"/>
    <w:basedOn w:val="33"/>
    <w:link w:val="19"/>
    <w:qFormat/>
    <w:uiPriority w:val="0"/>
    <w:rPr>
      <w:rFonts w:ascii="宋体" w:hAnsi="Courier New" w:eastAsia="宋体" w:cs="Times New Roman"/>
      <w:szCs w:val="20"/>
    </w:rPr>
  </w:style>
  <w:style w:type="character" w:customStyle="1" w:styleId="55">
    <w:name w:val="日期 Char"/>
    <w:basedOn w:val="33"/>
    <w:link w:val="20"/>
    <w:uiPriority w:val="0"/>
    <w:rPr>
      <w:rFonts w:ascii="Times New Roman" w:hAnsi="Times New Roman" w:eastAsia="宋体" w:cs="Times New Roman"/>
      <w:szCs w:val="24"/>
    </w:rPr>
  </w:style>
  <w:style w:type="character" w:customStyle="1" w:styleId="56">
    <w:name w:val="正文文本缩进 2 Char"/>
    <w:basedOn w:val="33"/>
    <w:link w:val="21"/>
    <w:qFormat/>
    <w:uiPriority w:val="0"/>
    <w:rPr>
      <w:rFonts w:ascii="宋体" w:hAnsi="宋体" w:eastAsia="宋体" w:cs="Times New Roman"/>
      <w:sz w:val="28"/>
      <w:szCs w:val="24"/>
    </w:rPr>
  </w:style>
  <w:style w:type="character" w:customStyle="1" w:styleId="57">
    <w:name w:val="批注框文本 Char"/>
    <w:basedOn w:val="33"/>
    <w:link w:val="22"/>
    <w:semiHidden/>
    <w:uiPriority w:val="0"/>
    <w:rPr>
      <w:rFonts w:ascii="Times New Roman" w:hAnsi="Times New Roman" w:eastAsia="宋体" w:cs="Times New Roman"/>
      <w:sz w:val="18"/>
      <w:szCs w:val="18"/>
    </w:rPr>
  </w:style>
  <w:style w:type="character" w:customStyle="1" w:styleId="58">
    <w:name w:val="页脚 Char"/>
    <w:basedOn w:val="33"/>
    <w:link w:val="23"/>
    <w:uiPriority w:val="99"/>
    <w:rPr>
      <w:rFonts w:ascii="宋体" w:hAnsi="Courier New" w:eastAsia="宋体" w:cs="Times New Roman"/>
      <w:sz w:val="18"/>
      <w:szCs w:val="20"/>
    </w:rPr>
  </w:style>
  <w:style w:type="character" w:customStyle="1" w:styleId="59">
    <w:name w:val="页眉 Char"/>
    <w:basedOn w:val="33"/>
    <w:link w:val="24"/>
    <w:qFormat/>
    <w:uiPriority w:val="99"/>
    <w:rPr>
      <w:rFonts w:ascii="Times New Roman" w:hAnsi="Times New Roman" w:eastAsia="宋体" w:cs="Times New Roman"/>
      <w:sz w:val="18"/>
      <w:szCs w:val="18"/>
    </w:rPr>
  </w:style>
  <w:style w:type="character" w:customStyle="1" w:styleId="60">
    <w:name w:val="正文文本缩进 3 Char"/>
    <w:basedOn w:val="33"/>
    <w:link w:val="27"/>
    <w:qFormat/>
    <w:uiPriority w:val="0"/>
    <w:rPr>
      <w:rFonts w:ascii="Times New Roman" w:hAnsi="Times New Roman" w:eastAsia="宋体" w:cs="Times New Roman"/>
      <w:sz w:val="24"/>
      <w:szCs w:val="24"/>
    </w:rPr>
  </w:style>
  <w:style w:type="character" w:customStyle="1" w:styleId="61">
    <w:name w:val="正文文本 2 Char"/>
    <w:basedOn w:val="33"/>
    <w:link w:val="29"/>
    <w:qFormat/>
    <w:uiPriority w:val="0"/>
    <w:rPr>
      <w:rFonts w:ascii="宋体" w:hAnsi="Courier New" w:eastAsia="宋体" w:cs="Times New Roman"/>
      <w:sz w:val="13"/>
      <w:szCs w:val="20"/>
    </w:rPr>
  </w:style>
  <w:style w:type="character" w:customStyle="1" w:styleId="62">
    <w:name w:val="icontext12"/>
    <w:basedOn w:val="33"/>
    <w:qFormat/>
    <w:uiPriority w:val="0"/>
  </w:style>
  <w:style w:type="character" w:customStyle="1" w:styleId="63">
    <w:name w:val="icontext3"/>
    <w:basedOn w:val="33"/>
    <w:qFormat/>
    <w:uiPriority w:val="0"/>
  </w:style>
  <w:style w:type="character" w:customStyle="1" w:styleId="64">
    <w:name w:val="design_class"/>
    <w:basedOn w:val="33"/>
    <w:qFormat/>
    <w:uiPriority w:val="0"/>
  </w:style>
  <w:style w:type="character" w:customStyle="1" w:styleId="65">
    <w:name w:val="cdropleft"/>
    <w:basedOn w:val="33"/>
    <w:qFormat/>
    <w:uiPriority w:val="0"/>
  </w:style>
  <w:style w:type="character" w:customStyle="1" w:styleId="66">
    <w:name w:val="associateddata"/>
    <w:basedOn w:val="33"/>
    <w:qFormat/>
    <w:uiPriority w:val="0"/>
    <w:rPr>
      <w:shd w:val="clear" w:color="auto" w:fill="50A6F9"/>
    </w:rPr>
  </w:style>
  <w:style w:type="character" w:customStyle="1" w:styleId="67">
    <w:name w:val="button"/>
    <w:basedOn w:val="33"/>
    <w:qFormat/>
    <w:uiPriority w:val="0"/>
  </w:style>
  <w:style w:type="character" w:customStyle="1" w:styleId="68">
    <w:name w:val="iconline2"/>
    <w:basedOn w:val="33"/>
    <w:qFormat/>
    <w:uiPriority w:val="0"/>
  </w:style>
  <w:style w:type="character" w:customStyle="1" w:styleId="69">
    <w:name w:val="hj1"/>
    <w:qFormat/>
    <w:uiPriority w:val="0"/>
    <w:rPr>
      <w:sz w:val="20"/>
      <w:szCs w:val="20"/>
    </w:rPr>
  </w:style>
  <w:style w:type="character" w:customStyle="1" w:styleId="70">
    <w:name w:val="after"/>
    <w:basedOn w:val="33"/>
    <w:qFormat/>
    <w:uiPriority w:val="0"/>
    <w:rPr>
      <w:sz w:val="16"/>
      <w:szCs w:val="0"/>
    </w:rPr>
  </w:style>
  <w:style w:type="character" w:customStyle="1" w:styleId="71">
    <w:name w:val="hover38"/>
    <w:basedOn w:val="33"/>
    <w:qFormat/>
    <w:uiPriority w:val="0"/>
    <w:rPr>
      <w:color w:val="FFFFFF"/>
    </w:rPr>
  </w:style>
  <w:style w:type="character" w:customStyle="1" w:styleId="72">
    <w:name w:val="pagechatarealistclose_box1"/>
    <w:basedOn w:val="33"/>
    <w:qFormat/>
    <w:uiPriority w:val="0"/>
  </w:style>
  <w:style w:type="character" w:customStyle="1" w:styleId="73">
    <w:name w:val="hilite6"/>
    <w:qFormat/>
    <w:uiPriority w:val="0"/>
    <w:rPr>
      <w:color w:val="FFFFFF"/>
      <w:shd w:val="clear" w:color="auto" w:fill="666677"/>
    </w:rPr>
  </w:style>
  <w:style w:type="character" w:customStyle="1" w:styleId="74">
    <w:name w:val="first-child"/>
    <w:basedOn w:val="33"/>
    <w:qFormat/>
    <w:uiPriority w:val="0"/>
  </w:style>
  <w:style w:type="character" w:customStyle="1" w:styleId="75">
    <w:name w:val="active5"/>
    <w:basedOn w:val="33"/>
    <w:qFormat/>
    <w:uiPriority w:val="0"/>
    <w:rPr>
      <w:color w:val="00FF00"/>
      <w:shd w:val="clear" w:color="auto" w:fill="111111"/>
    </w:rPr>
  </w:style>
  <w:style w:type="character" w:customStyle="1" w:styleId="76">
    <w:name w:val="iconline21"/>
    <w:basedOn w:val="33"/>
    <w:qFormat/>
    <w:uiPriority w:val="0"/>
  </w:style>
  <w:style w:type="character" w:customStyle="1" w:styleId="77">
    <w:name w:val="cy"/>
    <w:basedOn w:val="33"/>
    <w:qFormat/>
    <w:uiPriority w:val="0"/>
  </w:style>
  <w:style w:type="character" w:customStyle="1" w:styleId="78">
    <w:name w:val="layui-layer-tabnow"/>
    <w:basedOn w:val="33"/>
    <w:qFormat/>
    <w:uiPriority w:val="0"/>
    <w:rPr>
      <w:bdr w:val="single" w:color="CCCCCC" w:sz="6" w:space="0"/>
      <w:shd w:val="clear" w:color="auto" w:fill="FFFFFF"/>
    </w:rPr>
  </w:style>
  <w:style w:type="character" w:customStyle="1" w:styleId="79">
    <w:name w:val="icontext1"/>
    <w:basedOn w:val="33"/>
    <w:qFormat/>
    <w:uiPriority w:val="0"/>
  </w:style>
  <w:style w:type="character" w:customStyle="1" w:styleId="80">
    <w:name w:val="biggerthanmax"/>
    <w:basedOn w:val="33"/>
    <w:qFormat/>
    <w:uiPriority w:val="0"/>
    <w:rPr>
      <w:shd w:val="clear" w:color="auto" w:fill="FFFF00"/>
    </w:rPr>
  </w:style>
  <w:style w:type="character" w:customStyle="1" w:styleId="81">
    <w:name w:val="token-input-delete-token"/>
    <w:qFormat/>
    <w:uiPriority w:val="0"/>
    <w:rPr>
      <w:color w:val="FFFFFF"/>
    </w:rPr>
  </w:style>
  <w:style w:type="character" w:customStyle="1" w:styleId="82">
    <w:name w:val="active7"/>
    <w:basedOn w:val="33"/>
    <w:qFormat/>
    <w:uiPriority w:val="0"/>
    <w:rPr>
      <w:color w:val="00FF00"/>
      <w:shd w:val="clear" w:color="auto" w:fill="111111"/>
    </w:rPr>
  </w:style>
  <w:style w:type="character" w:customStyle="1" w:styleId="83">
    <w:name w:val="active6"/>
    <w:basedOn w:val="33"/>
    <w:qFormat/>
    <w:uiPriority w:val="0"/>
    <w:rPr>
      <w:shd w:val="clear" w:color="auto" w:fill="EC3535"/>
    </w:rPr>
  </w:style>
  <w:style w:type="character" w:customStyle="1" w:styleId="84">
    <w:name w:val="ico1653"/>
    <w:basedOn w:val="33"/>
    <w:qFormat/>
    <w:uiPriority w:val="0"/>
  </w:style>
  <w:style w:type="character" w:customStyle="1" w:styleId="85">
    <w:name w:val="ico161"/>
    <w:basedOn w:val="33"/>
    <w:qFormat/>
    <w:uiPriority w:val="0"/>
  </w:style>
  <w:style w:type="character" w:customStyle="1" w:styleId="86">
    <w:name w:val="active12"/>
    <w:qFormat/>
    <w:uiPriority w:val="0"/>
    <w:rPr>
      <w:color w:val="00FF00"/>
      <w:shd w:val="clear" w:color="auto" w:fill="111111"/>
    </w:rPr>
  </w:style>
  <w:style w:type="character" w:customStyle="1" w:styleId="87">
    <w:name w:val="w32"/>
    <w:basedOn w:val="33"/>
    <w:qFormat/>
    <w:uiPriority w:val="0"/>
  </w:style>
  <w:style w:type="character" w:customStyle="1" w:styleId="88">
    <w:name w:val="icontext11"/>
    <w:basedOn w:val="33"/>
    <w:qFormat/>
    <w:uiPriority w:val="0"/>
  </w:style>
  <w:style w:type="character" w:customStyle="1" w:styleId="89">
    <w:name w:val="pagechatarealistclose_box"/>
    <w:basedOn w:val="33"/>
    <w:qFormat/>
    <w:uiPriority w:val="0"/>
  </w:style>
  <w:style w:type="character" w:customStyle="1" w:styleId="90">
    <w:name w:val="choosename"/>
    <w:basedOn w:val="33"/>
    <w:qFormat/>
    <w:uiPriority w:val="0"/>
  </w:style>
  <w:style w:type="character" w:customStyle="1" w:styleId="91">
    <w:name w:val="edit_class"/>
    <w:basedOn w:val="33"/>
    <w:qFormat/>
    <w:uiPriority w:val="0"/>
  </w:style>
  <w:style w:type="character" w:customStyle="1" w:styleId="92">
    <w:name w:val="xdrichtextbox2"/>
    <w:basedOn w:val="33"/>
    <w:qFormat/>
    <w:uiPriority w:val="0"/>
  </w:style>
  <w:style w:type="character" w:customStyle="1" w:styleId="93">
    <w:name w:val="tmpztreemove_arrow"/>
    <w:basedOn w:val="33"/>
    <w:qFormat/>
    <w:uiPriority w:val="0"/>
  </w:style>
  <w:style w:type="character" w:customStyle="1" w:styleId="94">
    <w:name w:val="active8"/>
    <w:basedOn w:val="33"/>
    <w:qFormat/>
    <w:uiPriority w:val="0"/>
    <w:rPr>
      <w:shd w:val="clear" w:color="auto" w:fill="EC3535"/>
    </w:rPr>
  </w:style>
  <w:style w:type="character" w:customStyle="1" w:styleId="95">
    <w:name w:val="button4"/>
    <w:basedOn w:val="33"/>
    <w:qFormat/>
    <w:uiPriority w:val="0"/>
  </w:style>
  <w:style w:type="character" w:customStyle="1" w:styleId="96">
    <w:name w:val="icontext2"/>
    <w:basedOn w:val="33"/>
    <w:qFormat/>
    <w:uiPriority w:val="0"/>
  </w:style>
  <w:style w:type="character" w:customStyle="1" w:styleId="97">
    <w:name w:val="ico1654"/>
    <w:basedOn w:val="33"/>
    <w:qFormat/>
    <w:uiPriority w:val="0"/>
  </w:style>
  <w:style w:type="character" w:customStyle="1" w:styleId="98">
    <w:name w:val="hover40"/>
    <w:basedOn w:val="33"/>
    <w:qFormat/>
    <w:uiPriority w:val="0"/>
    <w:rPr>
      <w:color w:val="FFFFFF"/>
    </w:rPr>
  </w:style>
  <w:style w:type="character" w:customStyle="1" w:styleId="99">
    <w:name w:val="ico16"/>
    <w:basedOn w:val="33"/>
    <w:qFormat/>
    <w:uiPriority w:val="0"/>
  </w:style>
  <w:style w:type="character" w:customStyle="1" w:styleId="100">
    <w:name w:val="button2"/>
    <w:basedOn w:val="33"/>
    <w:qFormat/>
    <w:uiPriority w:val="0"/>
  </w:style>
  <w:style w:type="character" w:customStyle="1" w:styleId="101">
    <w:name w:val="cdropright"/>
    <w:basedOn w:val="33"/>
    <w:qFormat/>
    <w:uiPriority w:val="0"/>
  </w:style>
  <w:style w:type="character" w:customStyle="1" w:styleId="102">
    <w:name w:val="drapbtn"/>
    <w:basedOn w:val="33"/>
    <w:qFormat/>
    <w:uiPriority w:val="0"/>
  </w:style>
  <w:style w:type="paragraph" w:customStyle="1" w:styleId="103">
    <w:name w:val="xl67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2"/>
      <w:szCs w:val="22"/>
    </w:rPr>
  </w:style>
  <w:style w:type="paragraph" w:customStyle="1" w:styleId="104">
    <w:name w:val="font91946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5">
    <w:name w:val="xl111501"/>
    <w:basedOn w:val="1"/>
    <w:qFormat/>
    <w:uiPriority w:val="0"/>
    <w:pPr>
      <w:widowControl/>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center"/>
      <w:textAlignment w:val="bottom"/>
    </w:pPr>
    <w:rPr>
      <w:rFonts w:ascii="宋体" w:hAnsi="宋体" w:cs="宋体"/>
      <w:kern w:val="0"/>
      <w:sz w:val="22"/>
      <w:szCs w:val="22"/>
    </w:rPr>
  </w:style>
  <w:style w:type="paragraph" w:customStyle="1" w:styleId="106">
    <w:name w:val="xl7919461"/>
    <w:basedOn w:val="1"/>
    <w:qFormat/>
    <w:uiPriority w:val="0"/>
    <w:pPr>
      <w:widowControl/>
      <w:spacing w:before="100" w:beforeAutospacing="1" w:after="100" w:afterAutospacing="1"/>
      <w:jc w:val="left"/>
      <w:textAlignment w:val="center"/>
    </w:pPr>
    <w:rPr>
      <w:rFonts w:ascii="宋体" w:hAnsi="宋体" w:cs="宋体"/>
      <w:kern w:val="0"/>
      <w:sz w:val="22"/>
      <w:szCs w:val="22"/>
    </w:rPr>
  </w:style>
  <w:style w:type="paragraph" w:customStyle="1" w:styleId="107">
    <w:name w:val="xl125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cs="宋体"/>
      <w:color w:val="FF0000"/>
      <w:kern w:val="0"/>
      <w:sz w:val="20"/>
      <w:szCs w:val="20"/>
    </w:rPr>
  </w:style>
  <w:style w:type="paragraph" w:customStyle="1" w:styleId="108">
    <w:name w:val="xl87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bottom"/>
    </w:pPr>
    <w:rPr>
      <w:rFonts w:ascii="宋体" w:hAnsi="宋体" w:cs="宋体"/>
      <w:kern w:val="0"/>
      <w:sz w:val="20"/>
      <w:szCs w:val="20"/>
    </w:rPr>
  </w:style>
  <w:style w:type="paragraph" w:customStyle="1" w:styleId="109">
    <w:name w:val="font1119461"/>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0">
    <w:name w:val="xl8050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2"/>
      <w:szCs w:val="22"/>
    </w:rPr>
  </w:style>
  <w:style w:type="paragraph" w:customStyle="1" w:styleId="111">
    <w:name w:val="xl74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cs="宋体"/>
      <w:kern w:val="0"/>
      <w:sz w:val="20"/>
      <w:szCs w:val="20"/>
    </w:rPr>
  </w:style>
  <w:style w:type="paragraph" w:customStyle="1" w:styleId="112">
    <w:name w:val="xl9719461"/>
    <w:basedOn w:val="1"/>
    <w:qFormat/>
    <w:uiPriority w:val="0"/>
    <w:pPr>
      <w:widowControl/>
      <w:pBdr>
        <w:top w:val="single" w:color="auto" w:sz="4" w:space="1"/>
        <w:left w:val="single" w:color="auto" w:sz="4" w:space="1"/>
        <w:bottom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113">
    <w:name w:val="xl11319461"/>
    <w:basedOn w:val="1"/>
    <w:qFormat/>
    <w:uiPriority w:val="0"/>
    <w:pPr>
      <w:widowControl/>
      <w:spacing w:before="100" w:beforeAutospacing="1" w:after="100" w:afterAutospacing="1"/>
      <w:jc w:val="left"/>
      <w:textAlignment w:val="center"/>
    </w:pPr>
    <w:rPr>
      <w:rFonts w:ascii="宋体" w:hAnsi="宋体" w:cs="宋体"/>
      <w:color w:val="FF0000"/>
      <w:kern w:val="0"/>
      <w:sz w:val="22"/>
      <w:szCs w:val="22"/>
    </w:rPr>
  </w:style>
  <w:style w:type="paragraph" w:customStyle="1" w:styleId="114">
    <w:name w:val="xl96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0"/>
      <w:szCs w:val="20"/>
    </w:rPr>
  </w:style>
  <w:style w:type="paragraph" w:customStyle="1" w:styleId="115">
    <w:name w:val="font1419461"/>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16">
    <w:name w:val="xl7119461"/>
    <w:basedOn w:val="1"/>
    <w:qFormat/>
    <w:uiPriority w:val="0"/>
    <w:pPr>
      <w:widowControl/>
      <w:spacing w:before="100" w:beforeAutospacing="1" w:after="100" w:afterAutospacing="1"/>
      <w:jc w:val="center"/>
      <w:textAlignment w:val="center"/>
    </w:pPr>
    <w:rPr>
      <w:rFonts w:ascii="宋体" w:hAnsi="宋体" w:cs="宋体"/>
      <w:kern w:val="0"/>
      <w:sz w:val="22"/>
      <w:szCs w:val="22"/>
    </w:rPr>
  </w:style>
  <w:style w:type="paragraph" w:customStyle="1" w:styleId="117">
    <w:name w:val="font950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8">
    <w:name w:val="xl11819461"/>
    <w:basedOn w:val="1"/>
    <w:qFormat/>
    <w:uiPriority w:val="0"/>
    <w:pPr>
      <w:widowControl/>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left"/>
      <w:textAlignment w:val="center"/>
    </w:pPr>
    <w:rPr>
      <w:rFonts w:ascii="宋体" w:hAnsi="宋体" w:cs="宋体"/>
      <w:color w:val="FF0000"/>
      <w:kern w:val="0"/>
      <w:sz w:val="22"/>
      <w:szCs w:val="22"/>
    </w:rPr>
  </w:style>
  <w:style w:type="paragraph" w:customStyle="1" w:styleId="119">
    <w:name w:val="xl11650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cs="宋体"/>
      <w:kern w:val="0"/>
      <w:sz w:val="22"/>
      <w:szCs w:val="22"/>
    </w:rPr>
  </w:style>
  <w:style w:type="paragraph" w:customStyle="1" w:styleId="120">
    <w:name w:val="xl7619461"/>
    <w:basedOn w:val="1"/>
    <w:qFormat/>
    <w:uiPriority w:val="0"/>
    <w:pPr>
      <w:widowControl/>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121">
    <w:name w:val="xl11750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cs="宋体"/>
      <w:kern w:val="0"/>
      <w:sz w:val="22"/>
      <w:szCs w:val="22"/>
    </w:rPr>
  </w:style>
  <w:style w:type="paragraph" w:customStyle="1" w:styleId="122">
    <w:name w:val="xl7650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bottom"/>
    </w:pPr>
    <w:rPr>
      <w:rFonts w:ascii="宋体" w:hAnsi="宋体" w:cs="宋体"/>
      <w:kern w:val="0"/>
      <w:sz w:val="20"/>
      <w:szCs w:val="20"/>
    </w:rPr>
  </w:style>
  <w:style w:type="paragraph" w:customStyle="1" w:styleId="123">
    <w:name w:val="xl75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cs="宋体"/>
      <w:kern w:val="0"/>
      <w:sz w:val="20"/>
      <w:szCs w:val="20"/>
    </w:rPr>
  </w:style>
  <w:style w:type="paragraph" w:customStyle="1" w:styleId="124">
    <w:name w:val="xl10719461"/>
    <w:basedOn w:val="1"/>
    <w:qFormat/>
    <w:uiPriority w:val="0"/>
    <w:pPr>
      <w:widowControl/>
      <w:spacing w:before="100" w:beforeAutospacing="1" w:after="100" w:afterAutospacing="1"/>
      <w:jc w:val="left"/>
      <w:textAlignment w:val="center"/>
    </w:pPr>
    <w:rPr>
      <w:rFonts w:ascii="宋体" w:hAnsi="宋体" w:cs="宋体"/>
      <w:kern w:val="0"/>
      <w:sz w:val="22"/>
      <w:szCs w:val="22"/>
    </w:rPr>
  </w:style>
  <w:style w:type="paragraph" w:customStyle="1" w:styleId="125">
    <w:name w:val="xl126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color w:val="FF0000"/>
      <w:kern w:val="0"/>
      <w:sz w:val="22"/>
      <w:szCs w:val="22"/>
    </w:rPr>
  </w:style>
  <w:style w:type="paragraph" w:customStyle="1" w:styleId="126">
    <w:name w:val="xl83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cs="宋体"/>
      <w:kern w:val="0"/>
      <w:sz w:val="22"/>
      <w:szCs w:val="22"/>
    </w:rPr>
  </w:style>
  <w:style w:type="paragraph" w:customStyle="1" w:styleId="127">
    <w:name w:val="xl88501"/>
    <w:basedOn w:val="1"/>
    <w:qFormat/>
    <w:uiPriority w:val="0"/>
    <w:pPr>
      <w:widowControl/>
      <w:spacing w:before="100" w:beforeAutospacing="1" w:after="100" w:afterAutospacing="1"/>
      <w:jc w:val="center"/>
      <w:textAlignment w:val="center"/>
    </w:pPr>
    <w:rPr>
      <w:rFonts w:ascii="宋体" w:hAnsi="宋体" w:cs="宋体"/>
      <w:kern w:val="0"/>
      <w:sz w:val="22"/>
      <w:szCs w:val="22"/>
    </w:rPr>
  </w:style>
  <w:style w:type="paragraph" w:customStyle="1" w:styleId="128">
    <w:name w:val="xl109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bottom"/>
    </w:pPr>
    <w:rPr>
      <w:rFonts w:ascii="宋体" w:hAnsi="宋体" w:cs="宋体"/>
      <w:color w:val="FF0000"/>
      <w:kern w:val="0"/>
      <w:sz w:val="22"/>
      <w:szCs w:val="22"/>
    </w:rPr>
  </w:style>
  <w:style w:type="paragraph" w:customStyle="1" w:styleId="129">
    <w:name w:val="xl100501"/>
    <w:basedOn w:val="1"/>
    <w:qFormat/>
    <w:uiPriority w:val="0"/>
    <w:pPr>
      <w:widowControl/>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center"/>
      <w:textAlignment w:val="center"/>
    </w:pPr>
    <w:rPr>
      <w:rFonts w:ascii="宋体" w:hAnsi="宋体" w:cs="宋体"/>
      <w:kern w:val="0"/>
      <w:sz w:val="22"/>
      <w:szCs w:val="22"/>
    </w:rPr>
  </w:style>
  <w:style w:type="paragraph" w:customStyle="1" w:styleId="130">
    <w:name w:val="font51946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1">
    <w:name w:val="xl10219461"/>
    <w:basedOn w:val="1"/>
    <w:qFormat/>
    <w:uiPriority w:val="0"/>
    <w:pPr>
      <w:widowControl/>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left"/>
      <w:textAlignment w:val="bottom"/>
    </w:pPr>
    <w:rPr>
      <w:rFonts w:ascii="宋体" w:hAnsi="宋体" w:cs="宋体"/>
      <w:kern w:val="0"/>
      <w:sz w:val="20"/>
      <w:szCs w:val="20"/>
    </w:rPr>
  </w:style>
  <w:style w:type="paragraph" w:customStyle="1" w:styleId="132">
    <w:name w:val="xl8019461"/>
    <w:basedOn w:val="1"/>
    <w:qFormat/>
    <w:uiPriority w:val="0"/>
    <w:pPr>
      <w:widowControl/>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133">
    <w:name w:val="xl78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cs="宋体"/>
      <w:kern w:val="0"/>
      <w:sz w:val="22"/>
      <w:szCs w:val="22"/>
    </w:rPr>
  </w:style>
  <w:style w:type="paragraph" w:customStyle="1" w:styleId="134">
    <w:name w:val="xl127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cs="宋体"/>
      <w:color w:val="FF0000"/>
      <w:kern w:val="0"/>
      <w:sz w:val="22"/>
      <w:szCs w:val="22"/>
    </w:rPr>
  </w:style>
  <w:style w:type="paragraph" w:customStyle="1" w:styleId="135">
    <w:name w:val="Char Char Char Char"/>
    <w:basedOn w:val="1"/>
    <w:qFormat/>
    <w:uiPriority w:val="0"/>
  </w:style>
  <w:style w:type="paragraph" w:customStyle="1" w:styleId="136">
    <w:name w:val="xl95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cs="宋体"/>
      <w:kern w:val="0"/>
      <w:sz w:val="22"/>
      <w:szCs w:val="22"/>
    </w:rPr>
  </w:style>
  <w:style w:type="paragraph" w:customStyle="1" w:styleId="137">
    <w:name w:val="xl8619461"/>
    <w:basedOn w:val="1"/>
    <w:qFormat/>
    <w:uiPriority w:val="0"/>
    <w:pPr>
      <w:widowControl/>
      <w:spacing w:before="100" w:beforeAutospacing="1" w:after="100" w:afterAutospacing="1"/>
      <w:jc w:val="left"/>
      <w:textAlignment w:val="center"/>
    </w:pPr>
    <w:rPr>
      <w:rFonts w:ascii="宋体" w:hAnsi="宋体" w:cs="宋体"/>
      <w:kern w:val="0"/>
      <w:sz w:val="22"/>
      <w:szCs w:val="22"/>
    </w:rPr>
  </w:style>
  <w:style w:type="paragraph" w:customStyle="1" w:styleId="138">
    <w:name w:val="xl73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cs="宋体"/>
      <w:kern w:val="0"/>
      <w:sz w:val="20"/>
      <w:szCs w:val="20"/>
    </w:rPr>
  </w:style>
  <w:style w:type="paragraph" w:customStyle="1" w:styleId="139">
    <w:name w:val="表格注"/>
    <w:basedOn w:val="1"/>
    <w:next w:val="1"/>
    <w:qFormat/>
    <w:uiPriority w:val="0"/>
    <w:pPr>
      <w:spacing w:line="320" w:lineRule="exact"/>
      <w:jc w:val="left"/>
    </w:pPr>
    <w:rPr>
      <w:rFonts w:ascii="宋体" w:hAnsi="宋体"/>
      <w:szCs w:val="20"/>
    </w:rPr>
  </w:style>
  <w:style w:type="paragraph" w:customStyle="1" w:styleId="140">
    <w:name w:val="表内文字"/>
    <w:basedOn w:val="1"/>
    <w:qFormat/>
    <w:uiPriority w:val="0"/>
    <w:pPr>
      <w:adjustRightInd w:val="0"/>
      <w:snapToGrid w:val="0"/>
      <w:spacing w:line="312" w:lineRule="auto"/>
      <w:jc w:val="center"/>
    </w:pPr>
    <w:rPr>
      <w:color w:val="000000"/>
      <w:szCs w:val="20"/>
    </w:rPr>
  </w:style>
  <w:style w:type="paragraph" w:customStyle="1" w:styleId="141">
    <w:name w:val="font1219461"/>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42">
    <w:name w:val="xl104501"/>
    <w:basedOn w:val="1"/>
    <w:qFormat/>
    <w:uiPriority w:val="0"/>
    <w:pPr>
      <w:widowControl/>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left"/>
      <w:textAlignment w:val="bottom"/>
    </w:pPr>
    <w:rPr>
      <w:rFonts w:ascii="宋体" w:hAnsi="宋体" w:cs="宋体"/>
      <w:kern w:val="0"/>
      <w:sz w:val="20"/>
      <w:szCs w:val="20"/>
    </w:rPr>
  </w:style>
  <w:style w:type="paragraph" w:customStyle="1" w:styleId="143">
    <w:name w:val="xl10119461"/>
    <w:basedOn w:val="1"/>
    <w:qFormat/>
    <w:uiPriority w:val="0"/>
    <w:pPr>
      <w:widowControl/>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left"/>
      <w:textAlignment w:val="bottom"/>
    </w:pPr>
    <w:rPr>
      <w:rFonts w:ascii="宋体" w:hAnsi="宋体" w:cs="宋体"/>
      <w:kern w:val="0"/>
      <w:sz w:val="20"/>
      <w:szCs w:val="20"/>
    </w:rPr>
  </w:style>
  <w:style w:type="paragraph" w:customStyle="1" w:styleId="144">
    <w:name w:val="xl86501"/>
    <w:basedOn w:val="1"/>
    <w:qFormat/>
    <w:uiPriority w:val="0"/>
    <w:pPr>
      <w:widowControl/>
      <w:pBdr>
        <w:top w:val="single" w:color="auto" w:sz="4" w:space="1"/>
        <w:bottom w:val="single" w:color="auto" w:sz="4" w:space="0"/>
        <w:right w:val="single" w:color="auto" w:sz="4" w:space="1"/>
      </w:pBdr>
      <w:spacing w:before="100" w:beforeAutospacing="1" w:after="100" w:afterAutospacing="1"/>
      <w:jc w:val="center"/>
      <w:textAlignment w:val="bottom"/>
    </w:pPr>
    <w:rPr>
      <w:rFonts w:ascii="宋体" w:hAnsi="宋体" w:cs="宋体"/>
      <w:kern w:val="0"/>
      <w:sz w:val="20"/>
      <w:szCs w:val="20"/>
    </w:rPr>
  </w:style>
  <w:style w:type="paragraph" w:customStyle="1" w:styleId="145">
    <w:name w:val="xl9819461"/>
    <w:basedOn w:val="1"/>
    <w:qFormat/>
    <w:uiPriority w:val="0"/>
    <w:pPr>
      <w:widowControl/>
      <w:pBdr>
        <w:left w:val="single" w:color="auto" w:sz="4" w:space="1"/>
        <w:right w:val="single" w:color="auto" w:sz="4" w:space="1"/>
      </w:pBdr>
      <w:spacing w:before="100" w:beforeAutospacing="1" w:after="100" w:afterAutospacing="1"/>
      <w:jc w:val="left"/>
      <w:textAlignment w:val="center"/>
    </w:pPr>
    <w:rPr>
      <w:rFonts w:ascii="宋体" w:hAnsi="宋体" w:cs="宋体"/>
      <w:kern w:val="0"/>
      <w:sz w:val="22"/>
      <w:szCs w:val="22"/>
    </w:rPr>
  </w:style>
  <w:style w:type="paragraph" w:customStyle="1" w:styleId="146">
    <w:name w:val="xl8519461"/>
    <w:basedOn w:val="1"/>
    <w:qFormat/>
    <w:uiPriority w:val="0"/>
    <w:pPr>
      <w:widowControl/>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147">
    <w:name w:val="Char Char 字元 字元 字元 Char Char Char Char"/>
    <w:basedOn w:val="1"/>
    <w:qFormat/>
    <w:uiPriority w:val="0"/>
    <w:pPr>
      <w:adjustRightInd w:val="0"/>
      <w:spacing w:line="360" w:lineRule="auto"/>
    </w:pPr>
    <w:rPr>
      <w:kern w:val="0"/>
      <w:sz w:val="24"/>
      <w:szCs w:val="20"/>
    </w:rPr>
  </w:style>
  <w:style w:type="paragraph" w:customStyle="1" w:styleId="148">
    <w:name w:val="章标题"/>
    <w:basedOn w:val="1"/>
    <w:qFormat/>
    <w:uiPriority w:val="0"/>
    <w:pPr>
      <w:spacing w:line="360" w:lineRule="auto"/>
      <w:jc w:val="center"/>
      <w:outlineLvl w:val="0"/>
    </w:pPr>
    <w:rPr>
      <w:rFonts w:eastAsia="黑体"/>
      <w:bCs/>
      <w:sz w:val="44"/>
    </w:rPr>
  </w:style>
  <w:style w:type="paragraph" w:customStyle="1" w:styleId="149">
    <w:name w:val="font750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0">
    <w:name w:val="xl97501"/>
    <w:basedOn w:val="1"/>
    <w:qFormat/>
    <w:uiPriority w:val="0"/>
    <w:pPr>
      <w:widowControl/>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left"/>
      <w:textAlignment w:val="center"/>
    </w:pPr>
    <w:rPr>
      <w:rFonts w:ascii="宋体" w:hAnsi="宋体" w:cs="宋体"/>
      <w:kern w:val="0"/>
      <w:sz w:val="22"/>
      <w:szCs w:val="22"/>
    </w:rPr>
  </w:style>
  <w:style w:type="paragraph" w:customStyle="1" w:styleId="151">
    <w:name w:val="Char"/>
    <w:basedOn w:val="1"/>
    <w:qFormat/>
    <w:uiPriority w:val="0"/>
    <w:pPr>
      <w:widowControl/>
      <w:spacing w:after="160" w:line="240" w:lineRule="exact"/>
      <w:jc w:val="left"/>
    </w:pPr>
    <w:rPr>
      <w:rFonts w:ascii="Tahoma" w:hAnsi="Tahoma"/>
      <w:sz w:val="24"/>
      <w:lang w:eastAsia="en-US"/>
    </w:rPr>
  </w:style>
  <w:style w:type="paragraph" w:customStyle="1" w:styleId="152">
    <w:name w:val="xl112501"/>
    <w:basedOn w:val="1"/>
    <w:qFormat/>
    <w:uiPriority w:val="0"/>
    <w:pPr>
      <w:widowControl/>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left"/>
      <w:textAlignment w:val="center"/>
    </w:pPr>
    <w:rPr>
      <w:rFonts w:ascii="宋体" w:hAnsi="宋体" w:cs="宋体"/>
      <w:kern w:val="0"/>
      <w:sz w:val="22"/>
      <w:szCs w:val="22"/>
    </w:rPr>
  </w:style>
  <w:style w:type="paragraph" w:customStyle="1" w:styleId="153">
    <w:name w:val="xl11919461"/>
    <w:basedOn w:val="1"/>
    <w:qFormat/>
    <w:uiPriority w:val="0"/>
    <w:pPr>
      <w:widowControl/>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left"/>
      <w:textAlignment w:val="center"/>
    </w:pPr>
    <w:rPr>
      <w:rFonts w:ascii="宋体" w:hAnsi="宋体" w:cs="宋体"/>
      <w:color w:val="FF0000"/>
      <w:kern w:val="0"/>
      <w:sz w:val="22"/>
      <w:szCs w:val="22"/>
    </w:rPr>
  </w:style>
  <w:style w:type="paragraph" w:customStyle="1" w:styleId="154">
    <w:name w:val="xl89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bottom"/>
    </w:pPr>
    <w:rPr>
      <w:rFonts w:ascii="宋体" w:hAnsi="宋体" w:cs="宋体"/>
      <w:kern w:val="0"/>
      <w:sz w:val="22"/>
      <w:szCs w:val="22"/>
    </w:rPr>
  </w:style>
  <w:style w:type="paragraph" w:customStyle="1" w:styleId="155">
    <w:name w:val="xl12119461"/>
    <w:basedOn w:val="1"/>
    <w:qFormat/>
    <w:uiPriority w:val="0"/>
    <w:pPr>
      <w:widowControl/>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center"/>
      <w:textAlignment w:val="center"/>
    </w:pPr>
    <w:rPr>
      <w:rFonts w:ascii="宋体" w:hAnsi="宋体" w:cs="宋体"/>
      <w:color w:val="FF0000"/>
      <w:kern w:val="0"/>
      <w:sz w:val="22"/>
      <w:szCs w:val="22"/>
    </w:rPr>
  </w:style>
  <w:style w:type="paragraph" w:customStyle="1" w:styleId="156">
    <w:name w:val="xl70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2"/>
      <w:szCs w:val="22"/>
    </w:rPr>
  </w:style>
  <w:style w:type="paragraph" w:customStyle="1" w:styleId="157">
    <w:name w:val="font650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8">
    <w:name w:val="xl6650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bottom"/>
    </w:pPr>
    <w:rPr>
      <w:rFonts w:ascii="Arial" w:hAnsi="Arial" w:cs="Arial"/>
      <w:kern w:val="0"/>
      <w:sz w:val="20"/>
      <w:szCs w:val="20"/>
    </w:rPr>
  </w:style>
  <w:style w:type="paragraph" w:customStyle="1" w:styleId="159">
    <w:name w:val="xl109501"/>
    <w:basedOn w:val="1"/>
    <w:qFormat/>
    <w:uiPriority w:val="0"/>
    <w:pPr>
      <w:widowControl/>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left"/>
      <w:textAlignment w:val="bottom"/>
    </w:pPr>
    <w:rPr>
      <w:rFonts w:ascii="宋体" w:hAnsi="宋体" w:cs="宋体"/>
      <w:kern w:val="0"/>
      <w:sz w:val="22"/>
      <w:szCs w:val="22"/>
    </w:rPr>
  </w:style>
  <w:style w:type="paragraph" w:customStyle="1" w:styleId="160">
    <w:name w:val="xl116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cs="宋体"/>
      <w:color w:val="FF0000"/>
      <w:kern w:val="0"/>
      <w:sz w:val="22"/>
      <w:szCs w:val="22"/>
    </w:rPr>
  </w:style>
  <w:style w:type="paragraph" w:customStyle="1" w:styleId="161">
    <w:name w:val="xl81501"/>
    <w:basedOn w:val="1"/>
    <w:qFormat/>
    <w:uiPriority w:val="0"/>
    <w:pPr>
      <w:widowControl/>
      <w:spacing w:before="100" w:beforeAutospacing="1" w:after="100" w:afterAutospacing="1"/>
      <w:jc w:val="left"/>
      <w:textAlignment w:val="center"/>
    </w:pPr>
    <w:rPr>
      <w:rFonts w:ascii="宋体" w:hAnsi="宋体" w:cs="宋体"/>
      <w:kern w:val="0"/>
      <w:sz w:val="22"/>
      <w:szCs w:val="22"/>
    </w:rPr>
  </w:style>
  <w:style w:type="paragraph" w:customStyle="1" w:styleId="162">
    <w:name w:val="xl7250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cs="宋体"/>
      <w:kern w:val="0"/>
      <w:sz w:val="20"/>
      <w:szCs w:val="20"/>
    </w:rPr>
  </w:style>
  <w:style w:type="paragraph" w:customStyle="1" w:styleId="163">
    <w:name w:val="xl7850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0"/>
      <w:szCs w:val="20"/>
    </w:rPr>
  </w:style>
  <w:style w:type="paragraph" w:customStyle="1" w:styleId="164">
    <w:name w:val="xl10850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bottom"/>
    </w:pPr>
    <w:rPr>
      <w:rFonts w:ascii="宋体" w:hAnsi="宋体" w:cs="宋体"/>
      <w:kern w:val="0"/>
      <w:sz w:val="22"/>
      <w:szCs w:val="22"/>
    </w:rPr>
  </w:style>
  <w:style w:type="paragraph" w:customStyle="1" w:styleId="165">
    <w:name w:val="xl68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2"/>
      <w:szCs w:val="22"/>
    </w:rPr>
  </w:style>
  <w:style w:type="paragraph" w:customStyle="1" w:styleId="166">
    <w:name w:val="font5501"/>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167">
    <w:name w:val="xl81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cs="宋体"/>
      <w:kern w:val="0"/>
      <w:sz w:val="20"/>
      <w:szCs w:val="20"/>
    </w:rPr>
  </w:style>
  <w:style w:type="paragraph" w:customStyle="1" w:styleId="168">
    <w:name w:val="样式32"/>
    <w:basedOn w:val="1"/>
    <w:qFormat/>
    <w:uiPriority w:val="0"/>
    <w:rPr>
      <w:rFonts w:eastAsia="华文中宋"/>
      <w:sz w:val="24"/>
    </w:rPr>
  </w:style>
  <w:style w:type="paragraph" w:customStyle="1" w:styleId="169">
    <w:name w:val="xl84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cs="宋体"/>
      <w:kern w:val="0"/>
      <w:sz w:val="22"/>
      <w:szCs w:val="22"/>
    </w:rPr>
  </w:style>
  <w:style w:type="paragraph" w:customStyle="1" w:styleId="170">
    <w:name w:val="xl9419461"/>
    <w:basedOn w:val="1"/>
    <w:qFormat/>
    <w:uiPriority w:val="0"/>
    <w:pPr>
      <w:widowControl/>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left"/>
      <w:textAlignment w:val="center"/>
    </w:pPr>
    <w:rPr>
      <w:rFonts w:ascii="宋体" w:hAnsi="宋体" w:cs="宋体"/>
      <w:kern w:val="0"/>
      <w:sz w:val="22"/>
      <w:szCs w:val="22"/>
    </w:rPr>
  </w:style>
  <w:style w:type="paragraph" w:customStyle="1" w:styleId="171">
    <w:name w:val="xl115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cs="宋体"/>
      <w:color w:val="FF0000"/>
      <w:kern w:val="0"/>
      <w:sz w:val="22"/>
      <w:szCs w:val="22"/>
    </w:rPr>
  </w:style>
  <w:style w:type="paragraph" w:customStyle="1" w:styleId="172">
    <w:name w:val="font81946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3">
    <w:name w:val="列出段落1"/>
    <w:basedOn w:val="1"/>
    <w:qFormat/>
    <w:uiPriority w:val="34"/>
    <w:pPr>
      <w:ind w:firstLine="420" w:firstLineChars="200"/>
    </w:pPr>
  </w:style>
  <w:style w:type="paragraph" w:customStyle="1" w:styleId="174">
    <w:name w:val="xl87501"/>
    <w:basedOn w:val="1"/>
    <w:qFormat/>
    <w:uiPriority w:val="0"/>
    <w:pPr>
      <w:widowControl/>
      <w:pBdr>
        <w:top w:val="single" w:color="auto" w:sz="4" w:space="1"/>
        <w:left w:val="single" w:color="auto" w:sz="4" w:space="1"/>
        <w:bottom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75">
    <w:name w:val="xl12319461"/>
    <w:basedOn w:val="1"/>
    <w:qFormat/>
    <w:uiPriority w:val="0"/>
    <w:pPr>
      <w:widowControl/>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left"/>
      <w:textAlignment w:val="center"/>
    </w:pPr>
    <w:rPr>
      <w:rFonts w:ascii="宋体" w:hAnsi="宋体" w:cs="宋体"/>
      <w:color w:val="FF0000"/>
      <w:kern w:val="0"/>
      <w:sz w:val="22"/>
      <w:szCs w:val="22"/>
    </w:rPr>
  </w:style>
  <w:style w:type="paragraph" w:customStyle="1" w:styleId="176">
    <w:name w:val="xl9450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cs="宋体"/>
      <w:kern w:val="0"/>
      <w:sz w:val="22"/>
      <w:szCs w:val="22"/>
    </w:rPr>
  </w:style>
  <w:style w:type="paragraph" w:customStyle="1" w:styleId="177">
    <w:name w:val="font14501"/>
    <w:basedOn w:val="1"/>
    <w:qFormat/>
    <w:uiPriority w:val="0"/>
    <w:pPr>
      <w:widowControl/>
      <w:spacing w:before="100" w:beforeAutospacing="1" w:after="100" w:afterAutospacing="1"/>
      <w:jc w:val="left"/>
    </w:pPr>
    <w:rPr>
      <w:rFonts w:ascii="宋体" w:hAnsi="宋体" w:cs="宋体"/>
      <w:kern w:val="0"/>
      <w:sz w:val="24"/>
    </w:rPr>
  </w:style>
  <w:style w:type="paragraph" w:customStyle="1" w:styleId="178">
    <w:name w:val="font13501"/>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79">
    <w:name w:val="xl101501"/>
    <w:basedOn w:val="1"/>
    <w:qFormat/>
    <w:uiPriority w:val="0"/>
    <w:pPr>
      <w:widowControl/>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180">
    <w:name w:val="para"/>
    <w:basedOn w:val="1"/>
    <w:qFormat/>
    <w:uiPriority w:val="0"/>
    <w:pPr>
      <w:widowControl/>
      <w:adjustRightInd w:val="0"/>
      <w:spacing w:before="160" w:line="360" w:lineRule="auto"/>
      <w:ind w:firstLine="425"/>
      <w:textAlignment w:val="baseline"/>
    </w:pPr>
    <w:rPr>
      <w:kern w:val="0"/>
      <w:sz w:val="24"/>
      <w:szCs w:val="20"/>
      <w:lang w:eastAsia="en-US"/>
    </w:rPr>
  </w:style>
  <w:style w:type="paragraph" w:customStyle="1" w:styleId="181">
    <w:name w:val="xl7950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2"/>
      <w:szCs w:val="22"/>
    </w:rPr>
  </w:style>
  <w:style w:type="paragraph" w:customStyle="1" w:styleId="182">
    <w:name w:val="xl90501"/>
    <w:basedOn w:val="1"/>
    <w:qFormat/>
    <w:uiPriority w:val="0"/>
    <w:pPr>
      <w:widowControl/>
      <w:spacing w:before="100" w:beforeAutospacing="1" w:after="100" w:afterAutospacing="1"/>
      <w:jc w:val="left"/>
      <w:textAlignment w:val="center"/>
    </w:pPr>
    <w:rPr>
      <w:rFonts w:ascii="宋体" w:hAnsi="宋体" w:cs="宋体"/>
      <w:kern w:val="0"/>
      <w:sz w:val="22"/>
      <w:szCs w:val="22"/>
    </w:rPr>
  </w:style>
  <w:style w:type="paragraph" w:customStyle="1" w:styleId="183">
    <w:name w:val="xl105501"/>
    <w:basedOn w:val="1"/>
    <w:qFormat/>
    <w:uiPriority w:val="0"/>
    <w:pPr>
      <w:widowControl/>
      <w:pBdr>
        <w:top w:val="single" w:color="auto" w:sz="4" w:space="1"/>
        <w:bottom w:val="single" w:color="auto" w:sz="4" w:space="0"/>
        <w:right w:val="single" w:color="auto" w:sz="4" w:space="1"/>
      </w:pBdr>
      <w:shd w:val="clear" w:color="000000" w:fill="FFFFFF"/>
      <w:spacing w:before="100" w:beforeAutospacing="1" w:after="100" w:afterAutospacing="1"/>
      <w:jc w:val="center"/>
      <w:textAlignment w:val="center"/>
    </w:pPr>
    <w:rPr>
      <w:rFonts w:ascii="宋体" w:hAnsi="宋体" w:cs="宋体"/>
      <w:kern w:val="0"/>
      <w:sz w:val="22"/>
      <w:szCs w:val="22"/>
    </w:rPr>
  </w:style>
  <w:style w:type="paragraph" w:customStyle="1" w:styleId="184">
    <w:name w:val="xl112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bottom"/>
    </w:pPr>
    <w:rPr>
      <w:rFonts w:ascii="宋体" w:hAnsi="宋体" w:cs="宋体"/>
      <w:color w:val="FF0000"/>
      <w:kern w:val="0"/>
      <w:sz w:val="22"/>
      <w:szCs w:val="22"/>
    </w:rPr>
  </w:style>
  <w:style w:type="paragraph" w:customStyle="1" w:styleId="185">
    <w:name w:val="xl11719461"/>
    <w:basedOn w:val="1"/>
    <w:qFormat/>
    <w:uiPriority w:val="0"/>
    <w:pPr>
      <w:widowControl/>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left"/>
      <w:textAlignment w:val="center"/>
    </w:pPr>
    <w:rPr>
      <w:rFonts w:ascii="宋体" w:hAnsi="宋体" w:cs="宋体"/>
      <w:color w:val="FF0000"/>
      <w:kern w:val="0"/>
      <w:sz w:val="22"/>
      <w:szCs w:val="22"/>
    </w:rPr>
  </w:style>
  <w:style w:type="paragraph" w:customStyle="1" w:styleId="186">
    <w:name w:val="xl99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0"/>
      <w:szCs w:val="20"/>
    </w:rPr>
  </w:style>
  <w:style w:type="paragraph" w:customStyle="1" w:styleId="187">
    <w:name w:val="xl122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color w:val="FF0000"/>
      <w:kern w:val="0"/>
      <w:sz w:val="22"/>
      <w:szCs w:val="22"/>
    </w:rPr>
  </w:style>
  <w:style w:type="paragraph" w:customStyle="1" w:styleId="188">
    <w:name w:val="font71946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89">
    <w:name w:val="xl108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color w:val="FF0000"/>
      <w:kern w:val="0"/>
      <w:sz w:val="22"/>
      <w:szCs w:val="22"/>
    </w:rPr>
  </w:style>
  <w:style w:type="paragraph" w:customStyle="1" w:styleId="190">
    <w:name w:val="Char Char Char1 Char Char Char Char"/>
    <w:basedOn w:val="1"/>
    <w:qFormat/>
    <w:uiPriority w:val="0"/>
    <w:rPr>
      <w:szCs w:val="20"/>
    </w:rPr>
  </w:style>
  <w:style w:type="paragraph" w:customStyle="1" w:styleId="191">
    <w:name w:val="xl7450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bottom"/>
    </w:pPr>
    <w:rPr>
      <w:rFonts w:ascii="Arial" w:hAnsi="Arial" w:cs="Arial"/>
      <w:kern w:val="0"/>
      <w:sz w:val="20"/>
      <w:szCs w:val="20"/>
    </w:rPr>
  </w:style>
  <w:style w:type="paragraph" w:customStyle="1" w:styleId="192">
    <w:name w:val="xl9350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cs="宋体"/>
      <w:kern w:val="0"/>
      <w:sz w:val="22"/>
      <w:szCs w:val="22"/>
    </w:rPr>
  </w:style>
  <w:style w:type="paragraph" w:customStyle="1" w:styleId="193">
    <w:name w:val="xl7050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bottom"/>
    </w:pPr>
    <w:rPr>
      <w:rFonts w:ascii="Arial" w:hAnsi="Arial" w:cs="Arial"/>
      <w:kern w:val="0"/>
      <w:sz w:val="20"/>
      <w:szCs w:val="20"/>
    </w:rPr>
  </w:style>
  <w:style w:type="paragraph" w:customStyle="1" w:styleId="194">
    <w:name w:val="xl110501"/>
    <w:basedOn w:val="1"/>
    <w:qFormat/>
    <w:uiPriority w:val="0"/>
    <w:pPr>
      <w:widowControl/>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left"/>
      <w:textAlignment w:val="bottom"/>
    </w:pPr>
    <w:rPr>
      <w:rFonts w:ascii="宋体" w:hAnsi="宋体" w:cs="宋体"/>
      <w:kern w:val="0"/>
      <w:sz w:val="22"/>
      <w:szCs w:val="22"/>
    </w:rPr>
  </w:style>
  <w:style w:type="paragraph" w:customStyle="1" w:styleId="195">
    <w:name w:val="xl24"/>
    <w:basedOn w:val="1"/>
    <w:qFormat/>
    <w:uiPriority w:val="0"/>
    <w:pPr>
      <w:widowControl/>
      <w:spacing w:before="100" w:beforeAutospacing="1" w:after="100" w:afterAutospacing="1"/>
      <w:jc w:val="center"/>
    </w:pPr>
    <w:rPr>
      <w:rFonts w:ascii="宋体" w:hAnsi="宋体"/>
      <w:kern w:val="0"/>
      <w:sz w:val="24"/>
    </w:rPr>
  </w:style>
  <w:style w:type="paragraph" w:customStyle="1" w:styleId="196">
    <w:name w:val="表格居中"/>
    <w:basedOn w:val="1"/>
    <w:next w:val="1"/>
    <w:qFormat/>
    <w:uiPriority w:val="0"/>
    <w:pPr>
      <w:spacing w:line="320" w:lineRule="exact"/>
      <w:jc w:val="center"/>
    </w:pPr>
    <w:rPr>
      <w:rFonts w:ascii="宋体" w:hAnsi="宋体"/>
      <w:szCs w:val="20"/>
    </w:rPr>
  </w:style>
  <w:style w:type="paragraph" w:customStyle="1" w:styleId="197">
    <w:name w:val="xl103501"/>
    <w:basedOn w:val="1"/>
    <w:qFormat/>
    <w:uiPriority w:val="0"/>
    <w:pPr>
      <w:widowControl/>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left"/>
      <w:textAlignment w:val="bottom"/>
    </w:pPr>
    <w:rPr>
      <w:rFonts w:ascii="宋体" w:hAnsi="宋体" w:cs="宋体"/>
      <w:kern w:val="0"/>
      <w:sz w:val="20"/>
      <w:szCs w:val="20"/>
    </w:rPr>
  </w:style>
  <w:style w:type="paragraph" w:customStyle="1" w:styleId="198">
    <w:name w:val="xl8450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cs="宋体"/>
      <w:kern w:val="0"/>
      <w:sz w:val="22"/>
      <w:szCs w:val="22"/>
    </w:rPr>
  </w:style>
  <w:style w:type="paragraph" w:customStyle="1" w:styleId="199">
    <w:name w:val="xl114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cs="宋体"/>
      <w:color w:val="FF0000"/>
      <w:kern w:val="0"/>
      <w:sz w:val="22"/>
      <w:szCs w:val="22"/>
    </w:rPr>
  </w:style>
  <w:style w:type="paragraph" w:customStyle="1" w:styleId="200">
    <w:name w:val="font1150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01">
    <w:name w:val="xl10650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bottom"/>
    </w:pPr>
    <w:rPr>
      <w:rFonts w:ascii="宋体" w:hAnsi="宋体" w:cs="宋体"/>
      <w:kern w:val="0"/>
      <w:sz w:val="22"/>
      <w:szCs w:val="22"/>
    </w:rPr>
  </w:style>
  <w:style w:type="paragraph" w:customStyle="1" w:styleId="202">
    <w:name w:val="xl6750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bottom"/>
    </w:pPr>
    <w:rPr>
      <w:rFonts w:ascii="Arial" w:hAnsi="Arial" w:cs="Arial"/>
      <w:kern w:val="0"/>
      <w:sz w:val="20"/>
      <w:szCs w:val="20"/>
    </w:rPr>
  </w:style>
  <w:style w:type="paragraph" w:customStyle="1" w:styleId="203">
    <w:name w:val="xl111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cs="宋体"/>
      <w:color w:val="FF0000"/>
      <w:kern w:val="0"/>
      <w:sz w:val="22"/>
      <w:szCs w:val="22"/>
    </w:rPr>
  </w:style>
  <w:style w:type="paragraph" w:customStyle="1" w:styleId="204">
    <w:name w:val="xl88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bottom"/>
    </w:pPr>
    <w:rPr>
      <w:rFonts w:ascii="宋体" w:hAnsi="宋体" w:cs="宋体"/>
      <w:kern w:val="0"/>
      <w:sz w:val="22"/>
      <w:szCs w:val="22"/>
    </w:rPr>
  </w:style>
  <w:style w:type="paragraph" w:customStyle="1" w:styleId="205">
    <w:name w:val="正文1"/>
    <w:qFormat/>
    <w:uiPriority w:val="0"/>
    <w:pPr>
      <w:widowControl w:val="0"/>
      <w:adjustRightInd w:val="0"/>
      <w:spacing w:line="312" w:lineRule="atLeast"/>
      <w:jc w:val="both"/>
      <w:textAlignment w:val="baseline"/>
    </w:pPr>
    <w:rPr>
      <w:rFonts w:ascii="宋体" w:hAnsi="Calibri" w:eastAsia="宋体" w:cs="Times New Roman"/>
      <w:kern w:val="0"/>
      <w:sz w:val="34"/>
      <w:szCs w:val="22"/>
      <w:lang w:val="en-US" w:eastAsia="zh-CN" w:bidi="ar-SA"/>
    </w:rPr>
  </w:style>
  <w:style w:type="paragraph" w:customStyle="1" w:styleId="206">
    <w:name w:val="xl9550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2"/>
      <w:szCs w:val="22"/>
    </w:rPr>
  </w:style>
  <w:style w:type="paragraph" w:customStyle="1" w:styleId="207">
    <w:name w:val="font1319461"/>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208">
    <w:name w:val="font1250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09">
    <w:name w:val="xl92501"/>
    <w:basedOn w:val="1"/>
    <w:qFormat/>
    <w:uiPriority w:val="0"/>
    <w:pPr>
      <w:widowControl/>
      <w:pBdr>
        <w:top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cs="宋体"/>
      <w:kern w:val="0"/>
      <w:sz w:val="20"/>
      <w:szCs w:val="20"/>
    </w:rPr>
  </w:style>
  <w:style w:type="paragraph" w:customStyle="1" w:styleId="210">
    <w:name w:val="xl7550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bottom"/>
    </w:pPr>
    <w:rPr>
      <w:rFonts w:ascii="宋体" w:hAnsi="宋体" w:cs="宋体"/>
      <w:kern w:val="0"/>
      <w:sz w:val="20"/>
      <w:szCs w:val="20"/>
    </w:rPr>
  </w:style>
  <w:style w:type="paragraph" w:customStyle="1" w:styleId="211">
    <w:name w:val="xl89501"/>
    <w:basedOn w:val="1"/>
    <w:qFormat/>
    <w:uiPriority w:val="0"/>
    <w:pPr>
      <w:widowControl/>
      <w:spacing w:before="100" w:beforeAutospacing="1" w:after="100" w:afterAutospacing="1"/>
      <w:jc w:val="left"/>
      <w:textAlignment w:val="center"/>
    </w:pPr>
    <w:rPr>
      <w:rFonts w:ascii="宋体" w:hAnsi="宋体" w:cs="宋体"/>
      <w:kern w:val="0"/>
      <w:sz w:val="22"/>
      <w:szCs w:val="22"/>
    </w:rPr>
  </w:style>
  <w:style w:type="paragraph" w:customStyle="1" w:styleId="212">
    <w:name w:val="xl113501"/>
    <w:basedOn w:val="1"/>
    <w:qFormat/>
    <w:uiPriority w:val="0"/>
    <w:pPr>
      <w:widowControl/>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left"/>
      <w:textAlignment w:val="center"/>
    </w:pPr>
    <w:rPr>
      <w:rFonts w:ascii="宋体" w:hAnsi="宋体" w:cs="宋体"/>
      <w:kern w:val="0"/>
      <w:sz w:val="22"/>
      <w:szCs w:val="22"/>
    </w:rPr>
  </w:style>
  <w:style w:type="paragraph" w:customStyle="1" w:styleId="213">
    <w:name w:val="Char1 Char Char Char"/>
    <w:basedOn w:val="1"/>
    <w:qFormat/>
    <w:uiPriority w:val="0"/>
  </w:style>
  <w:style w:type="paragraph" w:customStyle="1" w:styleId="214">
    <w:name w:val="xl96501"/>
    <w:basedOn w:val="1"/>
    <w:qFormat/>
    <w:uiPriority w:val="0"/>
    <w:pPr>
      <w:widowControl/>
      <w:pBdr>
        <w:top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2"/>
      <w:szCs w:val="22"/>
    </w:rPr>
  </w:style>
  <w:style w:type="paragraph" w:customStyle="1" w:styleId="215">
    <w:name w:val="xl110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bottom"/>
    </w:pPr>
    <w:rPr>
      <w:rFonts w:ascii="宋体" w:hAnsi="宋体" w:cs="宋体"/>
      <w:color w:val="FF0000"/>
      <w:kern w:val="0"/>
      <w:sz w:val="22"/>
      <w:szCs w:val="22"/>
    </w:rPr>
  </w:style>
  <w:style w:type="paragraph" w:customStyle="1" w:styleId="216">
    <w:name w:val="xl69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2"/>
      <w:szCs w:val="22"/>
    </w:rPr>
  </w:style>
  <w:style w:type="paragraph" w:customStyle="1" w:styleId="217">
    <w:name w:val="font8501"/>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18">
    <w:name w:val="xl8550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cs="宋体"/>
      <w:kern w:val="0"/>
      <w:sz w:val="22"/>
      <w:szCs w:val="22"/>
    </w:rPr>
  </w:style>
  <w:style w:type="paragraph" w:customStyle="1" w:styleId="219">
    <w:name w:val="xl12919461"/>
    <w:basedOn w:val="1"/>
    <w:qFormat/>
    <w:uiPriority w:val="0"/>
    <w:pPr>
      <w:widowControl/>
      <w:pBdr>
        <w:top w:val="single" w:color="auto" w:sz="4" w:space="1"/>
        <w:left w:val="single" w:color="auto" w:sz="4" w:space="1"/>
        <w:bottom w:val="single" w:color="auto" w:sz="4" w:space="0"/>
      </w:pBdr>
      <w:shd w:val="clear" w:color="000000" w:fill="FFFFFF"/>
      <w:spacing w:before="100" w:beforeAutospacing="1" w:after="100" w:afterAutospacing="1"/>
      <w:jc w:val="left"/>
      <w:textAlignment w:val="center"/>
    </w:pPr>
    <w:rPr>
      <w:rFonts w:ascii="宋体" w:hAnsi="宋体" w:cs="宋体"/>
      <w:color w:val="FF0000"/>
      <w:kern w:val="0"/>
      <w:sz w:val="22"/>
      <w:szCs w:val="22"/>
    </w:rPr>
  </w:style>
  <w:style w:type="paragraph" w:customStyle="1" w:styleId="220">
    <w:name w:val="xl11550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2"/>
      <w:szCs w:val="22"/>
    </w:rPr>
  </w:style>
  <w:style w:type="paragraph" w:customStyle="1" w:styleId="221">
    <w:name w:val="xl9319461"/>
    <w:basedOn w:val="1"/>
    <w:qFormat/>
    <w:uiPriority w:val="0"/>
    <w:pPr>
      <w:widowControl/>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22">
    <w:name w:val="xl90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bottom"/>
    </w:pPr>
    <w:rPr>
      <w:rFonts w:ascii="宋体" w:hAnsi="宋体" w:cs="宋体"/>
      <w:kern w:val="0"/>
      <w:sz w:val="22"/>
      <w:szCs w:val="22"/>
    </w:rPr>
  </w:style>
  <w:style w:type="paragraph" w:customStyle="1" w:styleId="223">
    <w:name w:val="font15501"/>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24">
    <w:name w:val="xl102501"/>
    <w:basedOn w:val="1"/>
    <w:qFormat/>
    <w:uiPriority w:val="0"/>
    <w:pPr>
      <w:widowControl/>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225">
    <w:name w:val="xl12819461"/>
    <w:basedOn w:val="1"/>
    <w:qFormat/>
    <w:uiPriority w:val="0"/>
    <w:pPr>
      <w:widowControl/>
      <w:pBdr>
        <w:top w:val="single" w:color="auto" w:sz="4" w:space="1"/>
        <w:left w:val="single" w:color="auto" w:sz="4" w:space="1"/>
        <w:bottom w:val="single" w:color="auto" w:sz="4" w:space="0"/>
      </w:pBdr>
      <w:shd w:val="clear" w:color="000000" w:fill="FFFFFF"/>
      <w:spacing w:before="100" w:beforeAutospacing="1" w:after="100" w:afterAutospacing="1"/>
      <w:jc w:val="left"/>
      <w:textAlignment w:val="center"/>
    </w:pPr>
    <w:rPr>
      <w:rFonts w:ascii="宋体" w:hAnsi="宋体" w:cs="宋体"/>
      <w:color w:val="FF0000"/>
      <w:kern w:val="0"/>
      <w:sz w:val="22"/>
      <w:szCs w:val="22"/>
    </w:rPr>
  </w:style>
  <w:style w:type="paragraph" w:customStyle="1" w:styleId="226">
    <w:name w:val="xl9219461"/>
    <w:basedOn w:val="1"/>
    <w:qFormat/>
    <w:uiPriority w:val="0"/>
    <w:pPr>
      <w:widowControl/>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227">
    <w:name w:val="xl10319461"/>
    <w:basedOn w:val="1"/>
    <w:qFormat/>
    <w:uiPriority w:val="0"/>
    <w:pPr>
      <w:widowControl/>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center"/>
      <w:textAlignment w:val="bottom"/>
    </w:pPr>
    <w:rPr>
      <w:rFonts w:ascii="宋体" w:hAnsi="宋体" w:cs="宋体"/>
      <w:kern w:val="0"/>
      <w:sz w:val="20"/>
      <w:szCs w:val="20"/>
    </w:rPr>
  </w:style>
  <w:style w:type="paragraph" w:customStyle="1" w:styleId="228">
    <w:name w:val="xl8350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cs="宋体"/>
      <w:kern w:val="0"/>
      <w:sz w:val="22"/>
      <w:szCs w:val="22"/>
    </w:rPr>
  </w:style>
  <w:style w:type="paragraph" w:customStyle="1" w:styleId="229">
    <w:name w:val="xl13019461"/>
    <w:basedOn w:val="1"/>
    <w:qFormat/>
    <w:uiPriority w:val="0"/>
    <w:pPr>
      <w:widowControl/>
      <w:pBdr>
        <w:left w:val="single" w:color="auto" w:sz="4" w:space="1"/>
        <w:right w:val="single" w:color="auto" w:sz="4" w:space="1"/>
      </w:pBdr>
      <w:spacing w:before="100" w:beforeAutospacing="1" w:after="100" w:afterAutospacing="1"/>
      <w:jc w:val="left"/>
      <w:textAlignment w:val="center"/>
    </w:pPr>
    <w:rPr>
      <w:rFonts w:ascii="宋体" w:hAnsi="宋体" w:cs="宋体"/>
      <w:color w:val="FF0000"/>
      <w:kern w:val="0"/>
      <w:sz w:val="22"/>
      <w:szCs w:val="22"/>
    </w:rPr>
  </w:style>
  <w:style w:type="paragraph" w:customStyle="1" w:styleId="230">
    <w:name w:val="xl12419461"/>
    <w:basedOn w:val="1"/>
    <w:qFormat/>
    <w:uiPriority w:val="0"/>
    <w:pPr>
      <w:widowControl/>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center"/>
      <w:textAlignment w:val="center"/>
    </w:pPr>
    <w:rPr>
      <w:rFonts w:ascii="宋体" w:hAnsi="宋体" w:cs="宋体"/>
      <w:color w:val="FF0000"/>
      <w:kern w:val="0"/>
      <w:sz w:val="22"/>
      <w:szCs w:val="22"/>
    </w:rPr>
  </w:style>
  <w:style w:type="paragraph" w:customStyle="1" w:styleId="231">
    <w:name w:val="xl8219461"/>
    <w:basedOn w:val="1"/>
    <w:qFormat/>
    <w:uiPriority w:val="0"/>
    <w:pPr>
      <w:widowControl/>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32">
    <w:name w:val="font1050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33">
    <w:name w:val="font101946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34">
    <w:name w:val="xl98501"/>
    <w:basedOn w:val="1"/>
    <w:qFormat/>
    <w:uiPriority w:val="0"/>
    <w:pPr>
      <w:widowControl/>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left"/>
      <w:textAlignment w:val="center"/>
    </w:pPr>
    <w:rPr>
      <w:rFonts w:ascii="宋体" w:hAnsi="宋体" w:cs="宋体"/>
      <w:kern w:val="0"/>
      <w:sz w:val="22"/>
      <w:szCs w:val="22"/>
    </w:rPr>
  </w:style>
  <w:style w:type="paragraph" w:customStyle="1" w:styleId="235">
    <w:name w:val="xl7350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cs="宋体"/>
      <w:kern w:val="0"/>
      <w:sz w:val="20"/>
      <w:szCs w:val="20"/>
    </w:rPr>
  </w:style>
  <w:style w:type="paragraph" w:customStyle="1" w:styleId="236">
    <w:name w:val="xl91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bottom"/>
    </w:pPr>
    <w:rPr>
      <w:rFonts w:ascii="宋体" w:hAnsi="宋体" w:cs="宋体"/>
      <w:kern w:val="0"/>
      <w:sz w:val="22"/>
      <w:szCs w:val="22"/>
    </w:rPr>
  </w:style>
  <w:style w:type="paragraph" w:customStyle="1" w:styleId="237">
    <w:name w:val="xl13119461"/>
    <w:basedOn w:val="1"/>
    <w:qFormat/>
    <w:uiPriority w:val="0"/>
    <w:pPr>
      <w:widowControl/>
      <w:pBdr>
        <w:left w:val="single" w:color="auto" w:sz="4" w:space="1"/>
        <w:right w:val="single" w:color="auto" w:sz="4" w:space="1"/>
      </w:pBdr>
      <w:shd w:val="clear" w:color="000000" w:fill="FFFFFF"/>
      <w:spacing w:before="100" w:beforeAutospacing="1" w:after="100" w:afterAutospacing="1"/>
      <w:jc w:val="left"/>
      <w:textAlignment w:val="center"/>
    </w:pPr>
    <w:rPr>
      <w:rFonts w:ascii="宋体" w:hAnsi="宋体" w:cs="宋体"/>
      <w:kern w:val="0"/>
      <w:sz w:val="22"/>
      <w:szCs w:val="22"/>
    </w:rPr>
  </w:style>
  <w:style w:type="paragraph" w:customStyle="1" w:styleId="238">
    <w:name w:val="xl77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0"/>
      <w:szCs w:val="20"/>
    </w:rPr>
  </w:style>
  <w:style w:type="paragraph" w:customStyle="1" w:styleId="239">
    <w:name w:val="xl10019461"/>
    <w:basedOn w:val="1"/>
    <w:qFormat/>
    <w:uiPriority w:val="0"/>
    <w:pPr>
      <w:widowControl/>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left"/>
      <w:textAlignment w:val="bottom"/>
    </w:pPr>
    <w:rPr>
      <w:rFonts w:ascii="宋体" w:hAnsi="宋体" w:cs="宋体"/>
      <w:kern w:val="0"/>
      <w:sz w:val="20"/>
      <w:szCs w:val="20"/>
    </w:rPr>
  </w:style>
  <w:style w:type="paragraph" w:customStyle="1" w:styleId="240">
    <w:name w:val="xl105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cs="宋体"/>
      <w:kern w:val="0"/>
      <w:sz w:val="20"/>
      <w:szCs w:val="20"/>
    </w:rPr>
  </w:style>
  <w:style w:type="paragraph" w:customStyle="1" w:styleId="241">
    <w:name w:val="xl8250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cs="宋体"/>
      <w:kern w:val="0"/>
      <w:sz w:val="22"/>
      <w:szCs w:val="22"/>
    </w:rPr>
  </w:style>
  <w:style w:type="paragraph" w:customStyle="1" w:styleId="242">
    <w:name w:val="xl10619461"/>
    <w:basedOn w:val="1"/>
    <w:qFormat/>
    <w:uiPriority w:val="0"/>
    <w:pPr>
      <w:widowControl/>
      <w:spacing w:before="100" w:beforeAutospacing="1" w:after="100" w:afterAutospacing="1"/>
      <w:jc w:val="left"/>
      <w:textAlignment w:val="center"/>
    </w:pPr>
    <w:rPr>
      <w:rFonts w:ascii="宋体" w:hAnsi="宋体" w:cs="宋体"/>
      <w:kern w:val="0"/>
      <w:sz w:val="22"/>
      <w:szCs w:val="22"/>
    </w:rPr>
  </w:style>
  <w:style w:type="paragraph" w:customStyle="1" w:styleId="243">
    <w:name w:val="Char1 Char Char Char Char Char Char Char Char Char Char Char Char Char Char Char Char Char Char"/>
    <w:basedOn w:val="1"/>
    <w:qFormat/>
    <w:uiPriority w:val="0"/>
  </w:style>
  <w:style w:type="paragraph" w:customStyle="1" w:styleId="244">
    <w:name w:val="xl71501"/>
    <w:basedOn w:val="1"/>
    <w:qFormat/>
    <w:uiPriority w:val="0"/>
    <w:pPr>
      <w:widowControl/>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center"/>
      <w:textAlignment w:val="bottom"/>
    </w:pPr>
    <w:rPr>
      <w:rFonts w:ascii="Arial" w:hAnsi="Arial" w:cs="Arial"/>
      <w:kern w:val="0"/>
      <w:sz w:val="20"/>
      <w:szCs w:val="20"/>
    </w:rPr>
  </w:style>
  <w:style w:type="paragraph" w:customStyle="1" w:styleId="245">
    <w:name w:val="xl66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2"/>
      <w:szCs w:val="22"/>
    </w:rPr>
  </w:style>
  <w:style w:type="paragraph" w:customStyle="1" w:styleId="246">
    <w:name w:val="文档正文"/>
    <w:basedOn w:val="1"/>
    <w:qFormat/>
    <w:uiPriority w:val="0"/>
    <w:pPr>
      <w:spacing w:beforeLines="50" w:afterLines="50" w:line="360" w:lineRule="auto"/>
      <w:ind w:firstLine="560" w:firstLineChars="200"/>
    </w:pPr>
    <w:rPr>
      <w:rFonts w:ascii="宋体" w:hAnsi="宋体" w:cs="Arial"/>
      <w:bCs/>
      <w:sz w:val="28"/>
      <w:szCs w:val="28"/>
    </w:rPr>
  </w:style>
  <w:style w:type="paragraph" w:customStyle="1" w:styleId="247">
    <w:name w:val="xl91501"/>
    <w:basedOn w:val="1"/>
    <w:qFormat/>
    <w:uiPriority w:val="0"/>
    <w:pPr>
      <w:widowControl/>
      <w:spacing w:before="100" w:beforeAutospacing="1" w:after="100" w:afterAutospacing="1"/>
      <w:jc w:val="left"/>
      <w:textAlignment w:val="center"/>
    </w:pPr>
    <w:rPr>
      <w:rFonts w:ascii="宋体" w:hAnsi="宋体" w:cs="宋体"/>
      <w:kern w:val="0"/>
      <w:sz w:val="22"/>
      <w:szCs w:val="22"/>
    </w:rPr>
  </w:style>
  <w:style w:type="paragraph" w:customStyle="1" w:styleId="248">
    <w:name w:val="xl6850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bottom"/>
    </w:pPr>
    <w:rPr>
      <w:rFonts w:ascii="Arial" w:hAnsi="Arial" w:cs="Arial"/>
      <w:kern w:val="0"/>
      <w:sz w:val="20"/>
      <w:szCs w:val="20"/>
    </w:rPr>
  </w:style>
  <w:style w:type="paragraph" w:customStyle="1" w:styleId="249">
    <w:name w:val="g3"/>
    <w:basedOn w:val="1"/>
    <w:qFormat/>
    <w:uiPriority w:val="0"/>
    <w:pPr>
      <w:widowControl/>
      <w:spacing w:before="100" w:beforeAutospacing="1" w:after="100" w:afterAutospacing="1" w:line="675" w:lineRule="atLeast"/>
      <w:jc w:val="left"/>
    </w:pPr>
    <w:rPr>
      <w:rFonts w:hint="eastAsia" w:ascii="华文中宋" w:hAnsi="华文中宋" w:eastAsia="华文中宋"/>
      <w:kern w:val="0"/>
      <w:sz w:val="42"/>
      <w:szCs w:val="42"/>
    </w:rPr>
  </w:style>
  <w:style w:type="paragraph" w:customStyle="1" w:styleId="250">
    <w:name w:val="xl7750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bottom"/>
    </w:pPr>
    <w:rPr>
      <w:rFonts w:ascii="宋体" w:hAnsi="宋体" w:cs="宋体"/>
      <w:kern w:val="0"/>
      <w:sz w:val="20"/>
      <w:szCs w:val="20"/>
    </w:rPr>
  </w:style>
  <w:style w:type="paragraph" w:customStyle="1" w:styleId="251">
    <w:name w:val="xl132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right"/>
      <w:textAlignment w:val="center"/>
    </w:pPr>
    <w:rPr>
      <w:rFonts w:ascii="宋体" w:hAnsi="宋体" w:cs="宋体"/>
      <w:kern w:val="0"/>
      <w:sz w:val="20"/>
      <w:szCs w:val="20"/>
    </w:rPr>
  </w:style>
  <w:style w:type="paragraph" w:styleId="252">
    <w:name w:val="List Paragraph"/>
    <w:basedOn w:val="1"/>
    <w:qFormat/>
    <w:uiPriority w:val="34"/>
    <w:pPr>
      <w:ind w:firstLine="420" w:firstLineChars="200"/>
    </w:pPr>
  </w:style>
  <w:style w:type="paragraph" w:customStyle="1" w:styleId="253">
    <w:name w:val="xl69501"/>
    <w:basedOn w:val="1"/>
    <w:qFormat/>
    <w:uiPriority w:val="0"/>
    <w:pPr>
      <w:widowControl/>
      <w:pBdr>
        <w:top w:val="single" w:color="auto" w:sz="4" w:space="1"/>
        <w:bottom w:val="single" w:color="auto" w:sz="4" w:space="0"/>
        <w:right w:val="single" w:color="auto" w:sz="4" w:space="1"/>
      </w:pBdr>
      <w:spacing w:before="100" w:beforeAutospacing="1" w:after="100" w:afterAutospacing="1"/>
      <w:jc w:val="center"/>
      <w:textAlignment w:val="bottom"/>
    </w:pPr>
    <w:rPr>
      <w:rFonts w:ascii="Arial" w:hAnsi="Arial" w:cs="Arial"/>
      <w:kern w:val="0"/>
      <w:sz w:val="20"/>
      <w:szCs w:val="20"/>
    </w:rPr>
  </w:style>
  <w:style w:type="paragraph" w:customStyle="1" w:styleId="254">
    <w:name w:val="xl114501"/>
    <w:basedOn w:val="1"/>
    <w:qFormat/>
    <w:uiPriority w:val="0"/>
    <w:pPr>
      <w:widowControl/>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center"/>
      <w:textAlignment w:val="center"/>
    </w:pPr>
    <w:rPr>
      <w:rFonts w:ascii="宋体" w:hAnsi="宋体" w:cs="宋体"/>
      <w:kern w:val="0"/>
      <w:sz w:val="22"/>
      <w:szCs w:val="22"/>
    </w:rPr>
  </w:style>
  <w:style w:type="paragraph" w:customStyle="1" w:styleId="255">
    <w:name w:val="xl10750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bottom"/>
    </w:pPr>
    <w:rPr>
      <w:rFonts w:ascii="宋体" w:hAnsi="宋体" w:cs="宋体"/>
      <w:kern w:val="0"/>
      <w:sz w:val="22"/>
      <w:szCs w:val="22"/>
    </w:rPr>
  </w:style>
  <w:style w:type="paragraph" w:customStyle="1" w:styleId="256">
    <w:name w:val="font619461"/>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57">
    <w:name w:val="xl12019461"/>
    <w:basedOn w:val="1"/>
    <w:qFormat/>
    <w:uiPriority w:val="0"/>
    <w:pPr>
      <w:widowControl/>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left"/>
      <w:textAlignment w:val="center"/>
    </w:pPr>
    <w:rPr>
      <w:rFonts w:ascii="宋体" w:hAnsi="宋体" w:cs="宋体"/>
      <w:color w:val="FF0000"/>
      <w:kern w:val="0"/>
      <w:sz w:val="22"/>
      <w:szCs w:val="22"/>
    </w:rPr>
  </w:style>
  <w:style w:type="paragraph" w:customStyle="1" w:styleId="258">
    <w:name w:val="xl99501"/>
    <w:basedOn w:val="1"/>
    <w:qFormat/>
    <w:uiPriority w:val="0"/>
    <w:pPr>
      <w:widowControl/>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left"/>
      <w:textAlignment w:val="center"/>
    </w:pPr>
    <w:rPr>
      <w:rFonts w:ascii="宋体" w:hAnsi="宋体" w:cs="宋体"/>
      <w:kern w:val="0"/>
      <w:sz w:val="22"/>
      <w:szCs w:val="22"/>
    </w:rPr>
  </w:style>
  <w:style w:type="paragraph" w:customStyle="1" w:styleId="259">
    <w:name w:val="xl10419461"/>
    <w:basedOn w:val="1"/>
    <w:qFormat/>
    <w:uiPriority w:val="0"/>
    <w:pPr>
      <w:widowControl/>
      <w:pBdr>
        <w:top w:val="single" w:color="auto" w:sz="4" w:space="1"/>
        <w:left w:val="single" w:color="auto" w:sz="4" w:space="1"/>
        <w:bottom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260">
    <w:name w:val="xl72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cs="宋体"/>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171</Words>
  <Characters>215</Characters>
  <Lines>138</Lines>
  <Paragraphs>39</Paragraphs>
  <TotalTime>4</TotalTime>
  <ScaleCrop>false</ScaleCrop>
  <LinksUpToDate>false</LinksUpToDate>
  <CharactersWithSpaces>242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2024-12-01T08:19:00Z</dcterms:created>
  <dc:creator>王志松</dc:creator>
  <cp:lastModifiedBy>林丰丰</cp:lastModifiedBy>
  <dcterms:modified xsi:type="dcterms:W3CDTF">2024-12-23T03:34:14Z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2808C712CB6141D4BF3500F68CF7B7E4_12</vt:lpwstr>
  </property>
</Properties>
</file>